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222222"/>
          <w:sz w:val="44"/>
          <w:szCs w:val="44"/>
        </w:rPr>
        <w:t xml:space="preserve">Sample Firm AI Policy</w:t>
      </w:r>
    </w:p>
    <w:p>
      <w:pPr>
        <w:spacing w:after="80"/>
      </w:pPr>
      <w:r>
        <w:rPr>
          <w:rFonts w:ascii="Arial" w:cs="Arial" w:eastAsia="Arial" w:hAnsi="Arial"/>
          <w:i/>
          <w:iCs/>
          <w:color w:val="555555"/>
          <w:sz w:val="22"/>
          <w:szCs w:val="22"/>
        </w:rPr>
        <w:t xml:space="preserve">Short version — a concise starting point</w:t>
      </w:r>
    </w:p>
    <w:p>
      <w:pPr>
        <w:spacing w:after="240" w:before="0"/>
      </w:pPr>
      <w:r>
        <w:rPr>
          <w:rFonts w:ascii="Arial" w:cs="Arial" w:eastAsia="Arial" w:hAnsi="Arial"/>
          <w:b w:val="false"/>
          <w:bCs w:val="false"/>
          <w:i/>
          <w:iCs/>
          <w:sz w:val="22"/>
          <w:szCs w:val="22"/>
        </w:rPr>
        <w:t xml:space="preserve">This is a one-page starting template suitable for any firm that wants a concise policy without the operational detail. Adapt it to local laws, your project contracts, and your insurance carrier's requirements. Have it reviewed by legal counsel and your professional liability insurer before adoption. A more detailed version with a RACI matrix, expanded vendor review checklist, client disclosure guidance, and an AI use log appendix is also available.</w:t>
      </w:r>
    </w:p>
    <w:p>
      <w:pPr>
        <w:pStyle w:val="Heading2"/>
      </w:pPr>
      <w:r>
        <w:rPr>
          <w:rFonts w:ascii="Arial" w:cs="Arial" w:eastAsia="Arial" w:hAnsi="Arial"/>
          <w:b/>
          <w:bCs/>
          <w:color w:val="C41230"/>
          <w:sz w:val="26"/>
          <w:szCs w:val="26"/>
        </w:rPr>
        <w:t xml:space="preserve">1. Purpose and Scope</w:t>
      </w:r>
    </w:p>
    <w:p>
      <w:pPr>
        <w:spacing w:after="120" w:before="0"/>
      </w:pPr>
      <w:r>
        <w:rPr>
          <w:rFonts w:ascii="Arial" w:cs="Arial" w:eastAsia="Arial" w:hAnsi="Arial"/>
          <w:b w:val="false"/>
          <w:bCs w:val="false"/>
          <w:i w:val="false"/>
          <w:iCs w:val="false"/>
          <w:sz w:val="22"/>
          <w:szCs w:val="22"/>
        </w:rPr>
        <w:t xml:space="preserve">This policy governs how this firm uses AI in professional practice, including generative tools, code assistants, and analysis tools embedded in design software. It applies to all staff, contractors, and subconsultants working with firm projects or data.</w:t>
      </w:r>
    </w:p>
    <w:p>
      <w:pPr>
        <w:spacing w:after="200" w:before="0"/>
      </w:pPr>
      <w:r>
        <w:rPr>
          <w:rFonts w:ascii="Arial" w:cs="Arial" w:eastAsia="Arial" w:hAnsi="Arial"/>
          <w:b/>
          <w:bCs/>
          <w:i w:val="false"/>
          <w:iCs w:val="false"/>
          <w:sz w:val="22"/>
          <w:szCs w:val="22"/>
        </w:rPr>
        <w:t xml:space="preserve">The policy applies based on what AI is contributing to a decision, not on whether a feature is technically labeled "AI." </w:t>
      </w:r>
      <w:r>
        <w:rPr>
          <w:rFonts w:ascii="Arial" w:cs="Arial" w:eastAsia="Arial" w:hAnsi="Arial"/>
          <w:b w:val="false"/>
          <w:bCs w:val="false"/>
          <w:i w:val="false"/>
          <w:iCs w:val="false"/>
          <w:sz w:val="22"/>
          <w:szCs w:val="22"/>
        </w:rPr>
        <w:t xml:space="preserve">If AI influences an output a licensed professional is responsible for, this policy applies.</w:t>
      </w:r>
    </w:p>
    <w:p>
      <w:pPr>
        <w:pStyle w:val="Heading2"/>
      </w:pPr>
      <w:r>
        <w:rPr>
          <w:rFonts w:ascii="Arial" w:cs="Arial" w:eastAsia="Arial" w:hAnsi="Arial"/>
          <w:b/>
          <w:bCs/>
          <w:color w:val="C41230"/>
          <w:sz w:val="26"/>
          <w:szCs w:val="26"/>
        </w:rPr>
        <w:t xml:space="preserve">2. Core Principles</w:t>
      </w:r>
    </w:p>
    <w:p>
      <w:pPr>
        <w:spacing w:after="100" w:before="0"/>
      </w:pPr>
      <w:r>
        <w:rPr>
          <w:rFonts w:ascii="Arial" w:cs="Arial" w:eastAsia="Arial" w:hAnsi="Arial"/>
          <w:b/>
          <w:bCs/>
          <w:i w:val="false"/>
          <w:iCs w:val="false"/>
          <w:sz w:val="22"/>
          <w:szCs w:val="22"/>
        </w:rPr>
        <w:t xml:space="preserve">Professional responsibility. </w:t>
      </w:r>
      <w:r>
        <w:rPr>
          <w:rFonts w:ascii="Arial" w:cs="Arial" w:eastAsia="Arial" w:hAnsi="Arial"/>
          <w:b w:val="false"/>
          <w:bCs w:val="false"/>
          <w:i w:val="false"/>
          <w:iCs w:val="false"/>
          <w:sz w:val="22"/>
          <w:szCs w:val="22"/>
        </w:rPr>
        <w:t xml:space="preserve">AI may assist but does not hold professional responsibility. A licensed design professional is accountable for all decisions affecting health, safety, welfare, and code compliance. </w:t>
      </w:r>
      <w:r>
        <w:rPr>
          <w:rFonts w:ascii="Arial" w:cs="Arial" w:eastAsia="Arial" w:hAnsi="Arial"/>
          <w:b w:val="false"/>
          <w:bCs w:val="false"/>
          <w:i/>
          <w:iCs/>
          <w:sz w:val="22"/>
          <w:szCs w:val="22"/>
        </w:rPr>
        <w:t xml:space="preserve">(AIA Code Rule 4.102.)</w:t>
      </w:r>
    </w:p>
    <w:p>
      <w:pPr>
        <w:spacing w:after="100" w:before="0"/>
      </w:pPr>
      <w:r>
        <w:rPr>
          <w:rFonts w:ascii="Arial" w:cs="Arial" w:eastAsia="Arial" w:hAnsi="Arial"/>
          <w:b/>
          <w:bCs/>
          <w:i w:val="false"/>
          <w:iCs w:val="false"/>
          <w:sz w:val="22"/>
          <w:szCs w:val="22"/>
        </w:rPr>
        <w:t xml:space="preserve">Confidentiality. </w:t>
      </w:r>
      <w:r>
        <w:rPr>
          <w:rFonts w:ascii="Arial" w:cs="Arial" w:eastAsia="Arial" w:hAnsi="Arial"/>
          <w:b w:val="false"/>
          <w:bCs w:val="false"/>
          <w:i w:val="false"/>
          <w:iCs w:val="false"/>
          <w:sz w:val="22"/>
          <w:szCs w:val="22"/>
        </w:rPr>
        <w:t xml:space="preserve">Confidential client or project information must not be entered into AI tools without a verified data-handling agreement. Treat any tool whose terms have not been personally verified as a public tool. </w:t>
      </w:r>
      <w:r>
        <w:rPr>
          <w:rFonts w:ascii="Arial" w:cs="Arial" w:eastAsia="Arial" w:hAnsi="Arial"/>
          <w:b w:val="false"/>
          <w:bCs w:val="false"/>
          <w:i/>
          <w:iCs/>
          <w:sz w:val="22"/>
          <w:szCs w:val="22"/>
        </w:rPr>
        <w:t xml:space="preserve">(Rule 3.401.)</w:t>
      </w:r>
    </w:p>
    <w:p>
      <w:pPr>
        <w:spacing w:after="100" w:before="0"/>
      </w:pPr>
      <w:r>
        <w:rPr>
          <w:rFonts w:ascii="Arial" w:cs="Arial" w:eastAsia="Arial" w:hAnsi="Arial"/>
          <w:b/>
          <w:bCs/>
          <w:i w:val="false"/>
          <w:iCs w:val="false"/>
          <w:sz w:val="22"/>
          <w:szCs w:val="22"/>
        </w:rPr>
        <w:t xml:space="preserve">Verification before reliance. </w:t>
      </w:r>
      <w:r>
        <w:rPr>
          <w:rFonts w:ascii="Arial" w:cs="Arial" w:eastAsia="Arial" w:hAnsi="Arial"/>
          <w:b w:val="false"/>
          <w:bCs w:val="false"/>
          <w:i w:val="false"/>
          <w:iCs w:val="false"/>
          <w:sz w:val="22"/>
          <w:szCs w:val="22"/>
        </w:rPr>
        <w:t xml:space="preserve">AI outputs are drafts, not answers. Current AI tools produce confident, fluent outputs that are sometimes wrong, fabricated, or unsupported — this is structural. The level of human review increases with the stakes of the work. </w:t>
      </w:r>
      <w:r>
        <w:rPr>
          <w:rFonts w:ascii="Arial" w:cs="Arial" w:eastAsia="Arial" w:hAnsi="Arial"/>
          <w:b w:val="false"/>
          <w:bCs w:val="false"/>
          <w:i/>
          <w:iCs/>
          <w:sz w:val="22"/>
          <w:szCs w:val="22"/>
        </w:rPr>
        <w:t xml:space="preserve">(Rule 1.101.)</w:t>
      </w:r>
    </w:p>
    <w:p>
      <w:pPr>
        <w:spacing w:after="100" w:before="0"/>
      </w:pPr>
      <w:r>
        <w:rPr>
          <w:rFonts w:ascii="Arial" w:cs="Arial" w:eastAsia="Arial" w:hAnsi="Arial"/>
          <w:b/>
          <w:bCs/>
          <w:i w:val="false"/>
          <w:iCs w:val="false"/>
          <w:sz w:val="22"/>
          <w:szCs w:val="22"/>
        </w:rPr>
        <w:t xml:space="preserve">Candor with clients. </w:t>
      </w:r>
      <w:r>
        <w:rPr>
          <w:rFonts w:ascii="Arial" w:cs="Arial" w:eastAsia="Arial" w:hAnsi="Arial"/>
          <w:b w:val="false"/>
          <w:bCs w:val="false"/>
          <w:i w:val="false"/>
          <w:iCs w:val="false"/>
          <w:sz w:val="22"/>
          <w:szCs w:val="22"/>
        </w:rPr>
        <w:t xml:space="preserve">Disclose substantive AI involvement in deliverables clients rely on. If a client asks how AI is being used, answer plainly. </w:t>
      </w:r>
      <w:r>
        <w:rPr>
          <w:rFonts w:ascii="Arial" w:cs="Arial" w:eastAsia="Arial" w:hAnsi="Arial"/>
          <w:b w:val="false"/>
          <w:bCs w:val="false"/>
          <w:i/>
          <w:iCs/>
          <w:sz w:val="22"/>
          <w:szCs w:val="22"/>
        </w:rPr>
        <w:t xml:space="preserve">(Rule 3.301.)</w:t>
      </w:r>
    </w:p>
    <w:p>
      <w:pPr>
        <w:spacing w:after="200" w:before="0"/>
      </w:pPr>
      <w:r>
        <w:rPr>
          <w:rFonts w:ascii="Arial" w:cs="Arial" w:eastAsia="Arial" w:hAnsi="Arial"/>
          <w:b/>
          <w:bCs/>
          <w:i w:val="false"/>
          <w:iCs w:val="false"/>
          <w:sz w:val="22"/>
          <w:szCs w:val="22"/>
        </w:rPr>
        <w:t xml:space="preserve">Continuous revision. </w:t>
      </w:r>
      <w:r>
        <w:rPr>
          <w:rFonts w:ascii="Arial" w:cs="Arial" w:eastAsia="Arial" w:hAnsi="Arial"/>
          <w:b w:val="false"/>
          <w:bCs w:val="false"/>
          <w:i w:val="false"/>
          <w:iCs w:val="false"/>
          <w:sz w:val="22"/>
          <w:szCs w:val="22"/>
        </w:rPr>
        <w:t xml:space="preserve">AI capabilities and rules evolve quickly. This policy is a living document, reviewed at least annually.</w:t>
      </w:r>
    </w:p>
    <w:p>
      <w:pPr>
        <w:pStyle w:val="Heading2"/>
      </w:pPr>
      <w:r>
        <w:rPr>
          <w:rFonts w:ascii="Arial" w:cs="Arial" w:eastAsia="Arial" w:hAnsi="Arial"/>
          <w:b/>
          <w:bCs/>
          <w:color w:val="C41230"/>
          <w:sz w:val="26"/>
          <w:szCs w:val="26"/>
        </w:rPr>
        <w:t xml:space="preserve">3. Risk Tiers and Verification</w:t>
      </w:r>
    </w:p>
    <w:p>
      <w:pPr>
        <w:spacing w:after="120" w:before="0"/>
      </w:pPr>
      <w:r>
        <w:rPr>
          <w:rFonts w:ascii="Arial" w:cs="Arial" w:eastAsia="Arial" w:hAnsi="Arial"/>
          <w:b w:val="false"/>
          <w:bCs w:val="false"/>
          <w:i w:val="false"/>
          <w:iCs w:val="false"/>
          <w:sz w:val="22"/>
          <w:szCs w:val="22"/>
        </w:rPr>
        <w:t xml:space="preserve">Classify each AI use and apply the corresponding review. If unsure, treat as higher risk.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4200"/>
        <w:gridCol w:w="4380"/>
      </w:tblGrid>
      <w:tr>
        <w:trPr>
          <w:tblHeader/>
        </w:trPr>
        <w:tc>
          <w:tcPr>
            <w:tcW w:type="dxa" w:w="1500"/>
            <w:tcBorders>
              <w:top w:val="single" w:color="CCCCCC" w:sz="4"/>
              <w:left w:val="single" w:color="CCCCCC" w:sz="4"/>
              <w:bottom w:val="single" w:color="CCCCCC" w:sz="4"/>
              <w:right w:val="single" w:color="CCCCCC" w:sz="4"/>
            </w:tcBorders>
            <w:shd w:fill="222222"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Tier</w:t>
            </w:r>
          </w:p>
        </w:tc>
        <w:tc>
          <w:tcPr>
            <w:tcW w:type="dxa" w:w="4200"/>
            <w:tcBorders>
              <w:top w:val="single" w:color="CCCCCC" w:sz="4"/>
              <w:left w:val="single" w:color="CCCCCC" w:sz="4"/>
              <w:bottom w:val="single" w:color="CCCCCC" w:sz="4"/>
              <w:right w:val="single" w:color="CCCCCC" w:sz="4"/>
            </w:tcBorders>
            <w:shd w:fill="222222"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Typical uses</w:t>
            </w:r>
          </w:p>
        </w:tc>
        <w:tc>
          <w:tcPr>
            <w:tcW w:type="dxa" w:w="4380"/>
            <w:tcBorders>
              <w:top w:val="single" w:color="CCCCCC" w:sz="4"/>
              <w:left w:val="single" w:color="CCCCCC" w:sz="4"/>
              <w:bottom w:val="single" w:color="CCCCCC" w:sz="4"/>
              <w:right w:val="single" w:color="CCCCCC" w:sz="4"/>
            </w:tcBorders>
            <w:shd w:fill="222222"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Required review</w:t>
            </w:r>
          </w:p>
        </w:tc>
      </w:tr>
      <w:tr>
        <w:tc>
          <w:tcPr>
            <w:tcW w:type="dxa" w:w="1500"/>
            <w:tcBorders>
              <w:top w:val="single" w:color="CCCCCC" w:sz="4"/>
              <w:left w:val="single" w:color="CCCCCC" w:sz="4"/>
              <w:bottom w:val="single" w:color="CCCCCC" w:sz="4"/>
              <w:right w:val="single" w:color="CCCCCC" w:sz="4"/>
            </w:tcBorders>
            <w:shd w:fill="D1FAE5" w:val="clear"/>
            <w:tcMar>
              <w:top w:type="dxa" w:w="100"/>
              <w:left w:type="dxa" w:w="140"/>
              <w:bottom w:type="dxa" w:w="100"/>
              <w:right w:type="dxa" w:w="140"/>
            </w:tcMar>
          </w:tcPr>
          <w:p>
            <w:pPr>
              <w:jc w:val="left"/>
            </w:pPr>
            <w:r>
              <w:rPr>
                <w:rFonts w:ascii="Arial" w:cs="Arial" w:eastAsia="Arial" w:hAnsi="Arial"/>
                <w:b/>
                <w:bCs/>
                <w:color w:val="065F46"/>
                <w:sz w:val="20"/>
                <w:szCs w:val="20"/>
              </w:rPr>
              <w:t xml:space="preserve">Low</w:t>
            </w:r>
          </w:p>
        </w:tc>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rFonts w:ascii="Arial" w:cs="Arial" w:eastAsia="Arial" w:hAnsi="Arial"/>
                <w:b w:val="false"/>
                <w:bCs w:val="false"/>
                <w:color w:val="222222"/>
                <w:sz w:val="18"/>
                <w:szCs w:val="18"/>
              </w:rPr>
              <w:t xml:space="preserve">Internal emails, meeting notes, formatting, internal-only image ideation, spell-check.</w:t>
            </w:r>
          </w:p>
        </w:tc>
        <w:tc>
          <w:tcPr>
            <w:tcW w:type="dxa" w:w="43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rFonts w:ascii="Arial" w:cs="Arial" w:eastAsia="Arial" w:hAnsi="Arial"/>
                <w:b w:val="false"/>
                <w:bCs w:val="false"/>
                <w:color w:val="222222"/>
                <w:sz w:val="18"/>
                <w:szCs w:val="18"/>
              </w:rPr>
              <w:t xml:space="preserve">Quick reasonableness check by the user. No project record required.</w:t>
            </w:r>
          </w:p>
        </w:tc>
      </w:tr>
      <w:tr>
        <w:tc>
          <w:tcPr>
            <w:tcW w:type="dxa" w:w="1500"/>
            <w:tcBorders>
              <w:top w:val="single" w:color="CCCCCC" w:sz="4"/>
              <w:left w:val="single" w:color="CCCCCC" w:sz="4"/>
              <w:bottom w:val="single" w:color="CCCCCC" w:sz="4"/>
              <w:right w:val="single" w:color="CCCCCC" w:sz="4"/>
            </w:tcBorders>
            <w:shd w:fill="FEF3C7" w:val="clear"/>
            <w:tcMar>
              <w:top w:type="dxa" w:w="100"/>
              <w:left w:type="dxa" w:w="140"/>
              <w:bottom w:type="dxa" w:w="100"/>
              <w:right w:type="dxa" w:w="140"/>
            </w:tcMar>
          </w:tcPr>
          <w:p>
            <w:pPr>
              <w:jc w:val="left"/>
            </w:pPr>
            <w:r>
              <w:rPr>
                <w:rFonts w:ascii="Arial" w:cs="Arial" w:eastAsia="Arial" w:hAnsi="Arial"/>
                <w:b/>
                <w:bCs/>
                <w:color w:val="92400E"/>
                <w:sz w:val="20"/>
                <w:szCs w:val="20"/>
              </w:rPr>
              <w:t xml:space="preserve">Medium</w:t>
            </w:r>
          </w:p>
        </w:tc>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rFonts w:ascii="Arial" w:cs="Arial" w:eastAsia="Arial" w:hAnsi="Arial"/>
                <w:b w:val="false"/>
                <w:bCs w:val="false"/>
                <w:color w:val="222222"/>
                <w:sz w:val="18"/>
                <w:szCs w:val="18"/>
              </w:rPr>
              <w:t xml:space="preserve">Zoning or code summaries; draft project narratives; spec boilerplate; client-facing renderings; options studies.</w:t>
            </w:r>
          </w:p>
        </w:tc>
        <w:tc>
          <w:tcPr>
            <w:tcW w:type="dxa" w:w="43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rFonts w:ascii="Arial" w:cs="Arial" w:eastAsia="Arial" w:hAnsi="Arial"/>
                <w:b w:val="false"/>
                <w:bCs w:val="false"/>
                <w:color w:val="222222"/>
                <w:sz w:val="18"/>
                <w:szCs w:val="18"/>
              </w:rPr>
              <w:t xml:space="preserve">Check against trusted sources. Note significant uses in the project record.</w:t>
            </w:r>
          </w:p>
        </w:tc>
      </w:tr>
      <w:tr>
        <w:tc>
          <w:tcPr>
            <w:tcW w:type="dxa" w:w="1500"/>
            <w:tcBorders>
              <w:top w:val="single" w:color="CCCCCC" w:sz="4"/>
              <w:left w:val="single" w:color="CCCCCC" w:sz="4"/>
              <w:bottom w:val="single" w:color="CCCCCC" w:sz="4"/>
              <w:right w:val="single" w:color="CCCCCC" w:sz="4"/>
            </w:tcBorders>
            <w:shd w:fill="FEE2E2" w:val="clear"/>
            <w:tcMar>
              <w:top w:type="dxa" w:w="100"/>
              <w:left w:type="dxa" w:w="140"/>
              <w:bottom w:type="dxa" w:w="100"/>
              <w:right w:type="dxa" w:w="140"/>
            </w:tcMar>
          </w:tcPr>
          <w:p>
            <w:pPr>
              <w:jc w:val="left"/>
            </w:pPr>
            <w:r>
              <w:rPr>
                <w:rFonts w:ascii="Arial" w:cs="Arial" w:eastAsia="Arial" w:hAnsi="Arial"/>
                <w:b/>
                <w:bCs/>
                <w:color w:val="991B1B"/>
                <w:sz w:val="20"/>
                <w:szCs w:val="20"/>
              </w:rPr>
              <w:t xml:space="preserve">High</w:t>
            </w:r>
          </w:p>
        </w:tc>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rFonts w:ascii="Arial" w:cs="Arial" w:eastAsia="Arial" w:hAnsi="Arial"/>
                <w:b w:val="false"/>
                <w:bCs w:val="false"/>
                <w:color w:val="222222"/>
                <w:sz w:val="18"/>
                <w:szCs w:val="18"/>
              </w:rPr>
              <w:t xml:space="preserve">Life-safety analysis, accessibility compliance, final code interpretation, calculations or content embedded in stamped deliverables.</w:t>
            </w:r>
          </w:p>
        </w:tc>
        <w:tc>
          <w:tcPr>
            <w:tcW w:type="dxa" w:w="43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rFonts w:ascii="Arial" w:cs="Arial" w:eastAsia="Arial" w:hAnsi="Arial"/>
                <w:b w:val="false"/>
                <w:bCs w:val="false"/>
                <w:color w:val="222222"/>
                <w:sz w:val="18"/>
                <w:szCs w:val="18"/>
              </w:rPr>
              <w:t xml:space="preserve">AI is exploratory only. Final work must be independently re-verified by a qualified human. Document the use.</w:t>
            </w:r>
          </w:p>
        </w:tc>
      </w:tr>
    </w:tbl>
    <w:p>
      <w:pPr>
        <w:spacing w:after="200" w:before="160"/>
      </w:pPr>
      <w:r>
        <w:rPr>
          <w:rFonts w:ascii="Arial" w:cs="Arial" w:eastAsia="Arial" w:hAnsi="Arial"/>
          <w:b/>
          <w:bCs/>
          <w:i w:val="false"/>
          <w:iCs w:val="false"/>
          <w:sz w:val="22"/>
          <w:szCs w:val="22"/>
        </w:rPr>
        <w:t xml:space="preserve">Note: </w:t>
      </w:r>
      <w:r>
        <w:rPr>
          <w:rFonts w:ascii="Arial" w:cs="Arial" w:eastAsia="Arial" w:hAnsi="Arial"/>
          <w:b w:val="false"/>
          <w:bCs w:val="false"/>
          <w:i w:val="false"/>
          <w:iCs w:val="false"/>
          <w:sz w:val="22"/>
          <w:szCs w:val="22"/>
        </w:rPr>
        <w:t xml:space="preserve">AI routinely cites superseded code editions and fabricates product names and ASTM references. Verify every code citation against the jurisdiction's current adopted edition before relying on it.</w:t>
      </w:r>
    </w:p>
    <w:p>
      <w:pPr>
        <w:pStyle w:val="Heading2"/>
      </w:pPr>
      <w:r>
        <w:rPr>
          <w:rFonts w:ascii="Arial" w:cs="Arial" w:eastAsia="Arial" w:hAnsi="Arial"/>
          <w:b/>
          <w:bCs/>
          <w:color w:val="C41230"/>
          <w:sz w:val="26"/>
          <w:szCs w:val="26"/>
        </w:rPr>
        <w:t xml:space="preserve">4. Tools, Data, and Vendors</w:t>
      </w:r>
    </w:p>
    <w:p>
      <w:pPr>
        <w:spacing w:after="120" w:before="0"/>
      </w:pPr>
      <w:r>
        <w:rPr>
          <w:rFonts w:ascii="Arial" w:cs="Arial" w:eastAsia="Arial" w:hAnsi="Arial"/>
          <w:b w:val="false"/>
          <w:bCs w:val="false"/>
          <w:i w:val="false"/>
          <w:iCs w:val="false"/>
          <w:sz w:val="22"/>
          <w:szCs w:val="22"/>
        </w:rPr>
        <w:t xml:space="preserve">This firm maintains a short list of approved AI tools and the uses each is approved for. Staff may not use unapproved tools with project data. Before adopting a new tool, review:</w:t>
      </w:r>
    </w:p>
    <w:p>
      <w:pPr>
        <w:pStyle w:val="ListParagraph"/>
        <w:numPr>
          <w:ilvl w:val="0"/>
          <w:numId w:val="2"/>
        </w:numPr>
        <w:spacing w:after="80" w:before="0"/>
      </w:pPr>
      <w:r>
        <w:rPr>
          <w:rFonts w:ascii="Arial" w:cs="Arial" w:eastAsia="Arial" w:hAnsi="Arial"/>
          <w:sz w:val="22"/>
          <w:szCs w:val="22"/>
        </w:rPr>
        <w:t xml:space="preserve">How it handles, stores, and routes data, and where data resides geographically.</w:t>
      </w:r>
    </w:p>
    <w:p>
      <w:pPr>
        <w:pStyle w:val="ListParagraph"/>
        <w:numPr>
          <w:ilvl w:val="0"/>
          <w:numId w:val="2"/>
        </w:numPr>
        <w:spacing w:after="80" w:before="0"/>
      </w:pPr>
      <w:r>
        <w:rPr>
          <w:rFonts w:ascii="Arial" w:cs="Arial" w:eastAsia="Arial" w:hAnsi="Arial"/>
          <w:sz w:val="22"/>
          <w:szCs w:val="22"/>
        </w:rPr>
        <w:t xml:space="preserve">Whether your data may be used to train models for other customers, and whether you can opt out.</w:t>
      </w:r>
    </w:p>
    <w:p>
      <w:pPr>
        <w:pStyle w:val="ListParagraph"/>
        <w:numPr>
          <w:ilvl w:val="0"/>
          <w:numId w:val="2"/>
        </w:numPr>
        <w:spacing w:after="80" w:before="0"/>
      </w:pPr>
      <w:r>
        <w:rPr>
          <w:rFonts w:ascii="Arial" w:cs="Arial" w:eastAsia="Arial" w:hAnsi="Arial"/>
          <w:sz w:val="22"/>
          <w:szCs w:val="22"/>
        </w:rPr>
        <w:t xml:space="preserve">Contract terms, IP ownership, support model, and security practices.</w:t>
      </w:r>
    </w:p>
    <w:p>
      <w:pPr>
        <w:pStyle w:val="ListParagraph"/>
        <w:numPr>
          <w:ilvl w:val="0"/>
          <w:numId w:val="2"/>
        </w:numPr>
        <w:spacing w:after="80" w:before="0"/>
      </w:pPr>
      <w:r>
        <w:rPr>
          <w:rFonts w:ascii="Arial" w:cs="Arial" w:eastAsia="Arial" w:hAnsi="Arial"/>
          <w:sz w:val="22"/>
          <w:szCs w:val="22"/>
        </w:rPr>
        <w:t xml:space="preserve">Compatibility with your professional liability coverage.</w:t>
      </w:r>
    </w:p>
    <w:p>
      <w:pPr>
        <w:spacing w:after="200" w:before="0"/>
      </w:pPr>
      <w:r>
        <w:rPr>
          <w:rFonts w:ascii="Arial" w:cs="Arial" w:eastAsia="Arial" w:hAnsi="Arial"/>
          <w:b w:val="false"/>
          <w:bCs w:val="false"/>
          <w:i w:val="false"/>
          <w:iCs w:val="false"/>
          <w:sz w:val="22"/>
          <w:szCs w:val="22"/>
        </w:rPr>
        <w:t xml:space="preserve">Data quality matters. AI output reflects the quality of the firm's underlying files and data. Reduce redundant, obsolete, and trivial content over time so AI tools have cleaner material to work with.</w:t>
      </w:r>
    </w:p>
    <w:p>
      <w:pPr>
        <w:pStyle w:val="Heading2"/>
      </w:pPr>
      <w:r>
        <w:rPr>
          <w:rFonts w:ascii="Arial" w:cs="Arial" w:eastAsia="Arial" w:hAnsi="Arial"/>
          <w:b/>
          <w:bCs/>
          <w:color w:val="C41230"/>
          <w:sz w:val="26"/>
          <w:szCs w:val="26"/>
        </w:rPr>
        <w:t xml:space="preserve">5. Review and Incidents</w:t>
      </w:r>
    </w:p>
    <w:p>
      <w:pPr>
        <w:spacing w:after="100" w:before="0"/>
      </w:pPr>
      <w:r>
        <w:rPr>
          <w:rFonts w:ascii="Arial" w:cs="Arial" w:eastAsia="Arial" w:hAnsi="Arial"/>
          <w:b/>
          <w:bCs/>
          <w:i w:val="false"/>
          <w:iCs w:val="false"/>
          <w:sz w:val="22"/>
          <w:szCs w:val="22"/>
        </w:rPr>
        <w:t xml:space="preserve">Annual review at minimum. </w:t>
      </w:r>
      <w:r>
        <w:rPr>
          <w:rFonts w:ascii="Arial" w:cs="Arial" w:eastAsia="Arial" w:hAnsi="Arial"/>
          <w:b w:val="false"/>
          <w:bCs w:val="false"/>
          <w:i w:val="false"/>
          <w:iCs w:val="false"/>
          <w:sz w:val="22"/>
          <w:szCs w:val="22"/>
        </w:rPr>
        <w:t xml:space="preserve">Sooner if the firm adopts a significant new tool, the law or insurer guidance changes, or there is a near-miss involving AI use.</w:t>
      </w:r>
    </w:p>
    <w:p>
      <w:pPr>
        <w:spacing w:after="200" w:before="0"/>
      </w:pPr>
      <w:r>
        <w:rPr>
          <w:rFonts w:ascii="Arial" w:cs="Arial" w:eastAsia="Arial" w:hAnsi="Arial"/>
          <w:b/>
          <w:bCs/>
          <w:i w:val="false"/>
          <w:iCs w:val="false"/>
          <w:sz w:val="22"/>
          <w:szCs w:val="22"/>
        </w:rPr>
        <w:t xml:space="preserve">If something goes wrong: </w:t>
      </w:r>
      <w:r>
        <w:rPr>
          <w:rFonts w:ascii="Arial" w:cs="Arial" w:eastAsia="Arial" w:hAnsi="Arial"/>
          <w:b w:val="false"/>
          <w:bCs w:val="false"/>
          <w:i w:val="false"/>
          <w:iCs w:val="false"/>
          <w:sz w:val="22"/>
          <w:szCs w:val="22"/>
        </w:rPr>
        <w:t xml:space="preserve">notify firm leadership, preserve the prompts and outputs, review what happened, adjust workflows or policy as needed, and share lessons across the firm.</w:t>
      </w:r>
    </w:p>
    <w:p>
      <w:pPr>
        <w:spacing w:after="0" w:before="0"/>
      </w:pPr>
      <w:r>
        <w:rPr>
          <w:rFonts w:ascii="Arial" w:cs="Arial" w:eastAsia="Arial" w:hAnsi="Arial"/>
          <w:b w:val="false"/>
          <w:bCs w:val="false"/>
          <w:i/>
          <w:iCs/>
          <w:sz w:val="22"/>
          <w:szCs w:val="22"/>
        </w:rPr>
        <w:t xml:space="preserve">This template is part of the AIA AI Firm Toolkit. </w:t>
      </w:r>
      <w:r>
        <w:rPr>
          <w:rFonts w:ascii="Arial" w:cs="Arial" w:eastAsia="Arial" w:hAnsi="Arial"/>
          <w:b w:val="false"/>
          <w:bCs w:val="false"/>
          <w:i/>
          <w:iCs/>
          <w:sz w:val="22"/>
          <w:szCs w:val="22"/>
        </w:rPr>
        <w:t xml:space="preserve">For background on each principle, the AIA Code anchors, client disclosure guidance, contract language, and environmental considerations, see the toolkit's Policy section.</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AIA AI Firm Toolkit · Sample Firm AI Policy (Short)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Sample Firm AI Policy — Short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Arial" w:cs="Arial" w:eastAsia="Arial" w:hAnsi="Arial"/>
      <w:b/>
      <w:bCs/>
      <w:color w:val="222222"/>
      <w:sz w:val="36"/>
      <w:szCs w:val="36"/>
    </w:rPr>
  </w:style>
  <w:style w:type="paragraph" w:styleId="Heading2">
    <w:name w:val="Heading 2"/>
    <w:basedOn w:val="Normal"/>
    <w:next w:val="Normal"/>
    <w:qFormat/>
    <w:pPr>
      <w:spacing w:after="100" w:before="240"/>
      <w:outlineLvl w:val="1"/>
    </w:pPr>
    <w:rPr>
      <w:rFonts w:ascii="Arial" w:cs="Arial" w:eastAsia="Arial" w:hAnsi="Arial"/>
      <w:b/>
      <w:bCs/>
      <w:color w:val="C4123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2026-05-08T06:31:11.069Z</dcterms:created>
  <dcterms:modified xsi:type="dcterms:W3CDTF">2026-05-08T06:31:11.073Z</dcterms:modified>
</cp:coreProperties>
</file>

<file path=docProps/custom.xml><?xml version="1.0" encoding="utf-8"?>
<Properties xmlns="http://schemas.openxmlformats.org/officeDocument/2006/custom-properties" xmlns:vt="http://schemas.openxmlformats.org/officeDocument/2006/docPropsVTypes"/>
</file>