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60"/>
      </w:pPr>
      <w:r>
        <w:rPr>
          <w:rFonts w:ascii="Arial" w:cs="Arial" w:eastAsia="Arial" w:hAnsi="Arial"/>
          <w:b/>
          <w:bCs/>
          <w:color w:val="222222"/>
          <w:sz w:val="44"/>
          <w:szCs w:val="44"/>
        </w:rPr>
        <w:t xml:space="preserve">Sample Firm AI Policy</w:t>
      </w:r>
    </w:p>
    <w:p>
      <w:pPr>
        <w:spacing w:after="80"/>
      </w:pPr>
      <w:r>
        <w:rPr>
          <w:rFonts w:ascii="Arial" w:cs="Arial" w:eastAsia="Arial" w:hAnsi="Arial"/>
          <w:i/>
          <w:iCs/>
          <w:color w:val="555555"/>
          <w:sz w:val="22"/>
          <w:szCs w:val="22"/>
        </w:rPr>
        <w:t xml:space="preserve">Detailed version — comprehensive policy with RACI matrix and appendix</w:t>
      </w:r>
    </w:p>
    <w:p>
      <w:pPr>
        <w:spacing w:after="240" w:before="0"/>
      </w:pPr>
      <w:r>
        <w:rPr>
          <w:rFonts w:ascii="Arial" w:cs="Arial" w:eastAsia="Arial" w:hAnsi="Arial"/>
          <w:b w:val="false"/>
          <w:bCs w:val="false"/>
          <w:i/>
          <w:iCs/>
          <w:sz w:val="22"/>
          <w:szCs w:val="22"/>
        </w:rPr>
        <w:t xml:space="preserve">This sample policy is intended as a starting point for any design firm that wants a comprehensive, operationally detailed AI policy. It should be adapted to local laws, project contracts, and insurance requirements, and reviewed by your legal counsel and professional liability carrier before adoption. A shorter version is also available for firms that want a more concise starting template.</w:t>
      </w:r>
    </w:p>
    <w:p>
      <w:pPr>
        <w:pStyle w:val="Heading2"/>
      </w:pPr>
      <w:r>
        <w:rPr>
          <w:rFonts w:ascii="Arial" w:cs="Arial" w:eastAsia="Arial" w:hAnsi="Arial"/>
          <w:b/>
          <w:bCs/>
          <w:color w:val="C41230"/>
          <w:sz w:val="26"/>
          <w:szCs w:val="26"/>
        </w:rPr>
        <w:t xml:space="preserve">1. Purpose and Scope</w:t>
      </w:r>
    </w:p>
    <w:p>
      <w:pPr>
        <w:spacing w:after="120" w:before="0"/>
      </w:pPr>
      <w:r>
        <w:rPr>
          <w:rFonts w:ascii="Arial" w:cs="Arial" w:eastAsia="Arial" w:hAnsi="Arial"/>
          <w:b w:val="false"/>
          <w:bCs w:val="false"/>
          <w:i w:val="false"/>
          <w:iCs w:val="false"/>
          <w:sz w:val="22"/>
          <w:szCs w:val="22"/>
        </w:rPr>
        <w:t xml:space="preserve">This policy governs how the firm uses AI systems — including generative tools, code assistants, and analysis features embedded in design software — in the course of professional practice.</w:t>
      </w:r>
    </w:p>
    <w:p>
      <w:pPr>
        <w:spacing w:after="120" w:before="0"/>
      </w:pPr>
      <w:r>
        <w:rPr>
          <w:rFonts w:ascii="Arial" w:cs="Arial" w:eastAsia="Arial" w:hAnsi="Arial"/>
          <w:b w:val="false"/>
          <w:bCs w:val="false"/>
          <w:i w:val="false"/>
          <w:iCs w:val="false"/>
          <w:sz w:val="22"/>
          <w:szCs w:val="22"/>
        </w:rPr>
        <w:t xml:space="preserve">Its goals are to:</w:t>
      </w:r>
    </w:p>
    <w:p>
      <w:pPr>
        <w:pStyle w:val="ListParagraph"/>
        <w:numPr>
          <w:ilvl w:val="0"/>
          <w:numId w:val="2"/>
        </w:numPr>
        <w:spacing w:after="80" w:before="0"/>
      </w:pPr>
      <w:r>
        <w:rPr>
          <w:rFonts w:ascii="Arial" w:cs="Arial" w:eastAsia="Arial" w:hAnsi="Arial"/>
          <w:sz w:val="22"/>
          <w:szCs w:val="22"/>
        </w:rPr>
        <w:t xml:space="preserve">Improve the quality, speed, and consistency of the firm's work.</w:t>
      </w:r>
    </w:p>
    <w:p>
      <w:pPr>
        <w:pStyle w:val="ListParagraph"/>
        <w:numPr>
          <w:ilvl w:val="0"/>
          <w:numId w:val="2"/>
        </w:numPr>
        <w:spacing w:after="80" w:before="0"/>
      </w:pPr>
      <w:r>
        <w:rPr>
          <w:rFonts w:ascii="Arial" w:cs="Arial" w:eastAsia="Arial" w:hAnsi="Arial"/>
          <w:sz w:val="22"/>
          <w:szCs w:val="22"/>
        </w:rPr>
        <w:t xml:space="preserve">Protect clients, the public, and the firm from undue risk.</w:t>
      </w:r>
    </w:p>
    <w:p>
      <w:pPr>
        <w:pStyle w:val="ListParagraph"/>
        <w:numPr>
          <w:ilvl w:val="0"/>
          <w:numId w:val="2"/>
        </w:numPr>
        <w:spacing w:after="80" w:before="0"/>
      </w:pPr>
      <w:r>
        <w:rPr>
          <w:rFonts w:ascii="Arial" w:cs="Arial" w:eastAsia="Arial" w:hAnsi="Arial"/>
          <w:sz w:val="22"/>
          <w:szCs w:val="22"/>
        </w:rPr>
        <w:t xml:space="preserve">Preserve a clear, human chain of responsibility for all professional judgments and sealed documents.</w:t>
      </w:r>
    </w:p>
    <w:p>
      <w:pPr>
        <w:spacing w:after="120" w:before="80"/>
      </w:pPr>
      <w:r>
        <w:rPr>
          <w:rFonts w:ascii="Arial" w:cs="Arial" w:eastAsia="Arial" w:hAnsi="Arial"/>
          <w:b w:val="false"/>
          <w:bCs w:val="false"/>
          <w:i w:val="false"/>
          <w:iCs w:val="false"/>
          <w:sz w:val="22"/>
          <w:szCs w:val="22"/>
        </w:rPr>
        <w:t xml:space="preserve">The policy applies to all staff, contractors, and subconsultants working with firm projects or data.</w:t>
      </w:r>
    </w:p>
    <w:p>
      <w:pPr>
        <w:spacing w:after="120" w:before="0"/>
      </w:pPr>
      <w:r>
        <w:rPr>
          <w:rFonts w:ascii="Arial" w:cs="Arial" w:eastAsia="Arial" w:hAnsi="Arial"/>
          <w:b/>
          <w:bCs/>
          <w:i w:val="false"/>
          <w:iCs w:val="false"/>
          <w:sz w:val="22"/>
          <w:szCs w:val="22"/>
        </w:rPr>
        <w:t xml:space="preserve">Scope is determined by outputs and decisions, not by labels. </w:t>
      </w:r>
      <w:r>
        <w:rPr>
          <w:rFonts w:ascii="Arial" w:cs="Arial" w:eastAsia="Arial" w:hAnsi="Arial"/>
          <w:b w:val="false"/>
          <w:bCs w:val="false"/>
          <w:i w:val="false"/>
          <w:iCs w:val="false"/>
          <w:sz w:val="22"/>
          <w:szCs w:val="22"/>
        </w:rPr>
        <w:t xml:space="preserve">AI is increasingly embedded in design, modeling, specification, and code-checking software without an explicit "AI mode." If AI influences an output a licensed professional is responsible for, this policy applies — regardless of whether the feature is marketed as AI.</w:t>
      </w:r>
    </w:p>
    <w:p>
      <w:pPr>
        <w:pStyle w:val="Heading2"/>
      </w:pPr>
      <w:r>
        <w:rPr>
          <w:rFonts w:ascii="Arial" w:cs="Arial" w:eastAsia="Arial" w:hAnsi="Arial"/>
          <w:b/>
          <w:bCs/>
          <w:color w:val="C41230"/>
          <w:sz w:val="26"/>
          <w:szCs w:val="26"/>
        </w:rPr>
        <w:t xml:space="preserve">2. Core Principles</w:t>
      </w:r>
    </w:p>
    <w:p>
      <w:pPr>
        <w:pStyle w:val="Heading3"/>
      </w:pPr>
      <w:r>
        <w:rPr>
          <w:rFonts w:ascii="Arial" w:cs="Arial" w:eastAsia="Arial" w:hAnsi="Arial"/>
          <w:b/>
          <w:bCs/>
          <w:color w:val="222222"/>
          <w:sz w:val="22"/>
          <w:szCs w:val="22"/>
        </w:rPr>
        <w:t xml:space="preserve">Professional responsibility</w:t>
      </w:r>
    </w:p>
    <w:p>
      <w:pPr>
        <w:spacing w:after="120" w:before="0"/>
      </w:pPr>
      <w:r>
        <w:rPr>
          <w:rFonts w:ascii="Arial" w:cs="Arial" w:eastAsia="Arial" w:hAnsi="Arial"/>
          <w:b w:val="false"/>
          <w:bCs w:val="false"/>
          <w:i w:val="false"/>
          <w:iCs w:val="false"/>
          <w:sz w:val="22"/>
          <w:szCs w:val="22"/>
        </w:rPr>
        <w:t xml:space="preserve">AI may assist with analysis and production, but it does not hold professional responsibility. A licensed design professional remains accountable for all decisions affecting health, safety, welfare, and code compliance.</w:t>
      </w:r>
    </w:p>
    <w:p>
      <w:pPr>
        <w:spacing w:after="100" w:before="0"/>
      </w:pPr>
      <w:r>
        <w:rPr>
          <w:rFonts w:ascii="Arial" w:cs="Arial" w:eastAsia="Arial" w:hAnsi="Arial"/>
          <w:b w:val="false"/>
          <w:bCs w:val="false"/>
          <w:i/>
          <w:iCs/>
          <w:sz w:val="22"/>
          <w:szCs w:val="22"/>
        </w:rPr>
        <w:t xml:space="preserve">Code anchor: AIA Code of Ethics Rule 4.102 (responsible control); Public Policy I.C.3.</w:t>
      </w:r>
    </w:p>
    <w:p>
      <w:pPr>
        <w:pStyle w:val="Heading3"/>
      </w:pPr>
      <w:r>
        <w:rPr>
          <w:rFonts w:ascii="Arial" w:cs="Arial" w:eastAsia="Arial" w:hAnsi="Arial"/>
          <w:b/>
          <w:bCs/>
          <w:color w:val="222222"/>
          <w:sz w:val="22"/>
          <w:szCs w:val="22"/>
        </w:rPr>
        <w:t xml:space="preserve">Confidentiality and data protection</w:t>
      </w:r>
    </w:p>
    <w:p>
      <w:pPr>
        <w:spacing w:after="120" w:before="0"/>
      </w:pPr>
      <w:r>
        <w:rPr>
          <w:rFonts w:ascii="Arial" w:cs="Arial" w:eastAsia="Arial" w:hAnsi="Arial"/>
          <w:b w:val="false"/>
          <w:bCs w:val="false"/>
          <w:i w:val="false"/>
          <w:iCs w:val="false"/>
          <w:sz w:val="22"/>
          <w:szCs w:val="22"/>
        </w:rPr>
        <w:t xml:space="preserve">Confidential or regulated information — client identities, financial data, security-sensitive drawings, personal data — must not be entered into AI tools without a verified data-handling agreement. Staff use firm-approved accounts and storage for any AI-related work.</w:t>
      </w:r>
    </w:p>
    <w:p>
      <w:pPr>
        <w:spacing w:after="80" w:before="0"/>
      </w:pPr>
      <w:r>
        <w:rPr>
          <w:rFonts w:ascii="Arial" w:cs="Arial" w:eastAsia="Arial" w:hAnsi="Arial"/>
          <w:b/>
          <w:bCs/>
          <w:i w:val="false"/>
          <w:iCs w:val="false"/>
          <w:sz w:val="22"/>
          <w:szCs w:val="22"/>
        </w:rPr>
        <w:t xml:space="preserve">Default position: </w:t>
      </w:r>
      <w:r>
        <w:rPr>
          <w:rFonts w:ascii="Arial" w:cs="Arial" w:eastAsia="Arial" w:hAnsi="Arial"/>
          <w:b w:val="false"/>
          <w:bCs w:val="false"/>
          <w:i w:val="false"/>
          <w:iCs w:val="false"/>
          <w:sz w:val="22"/>
          <w:szCs w:val="22"/>
        </w:rPr>
        <w:t xml:space="preserve">treat any tool whose data-handling terms have not been personally verified as a public tool. Assume anything entered could be used to train future models or otherwise leave the firm's control.</w:t>
      </w:r>
    </w:p>
    <w:p>
      <w:pPr>
        <w:spacing w:after="100" w:before="0"/>
      </w:pPr>
      <w:r>
        <w:rPr>
          <w:rFonts w:ascii="Arial" w:cs="Arial" w:eastAsia="Arial" w:hAnsi="Arial"/>
          <w:b w:val="false"/>
          <w:bCs w:val="false"/>
          <w:i/>
          <w:iCs/>
          <w:sz w:val="22"/>
          <w:szCs w:val="22"/>
        </w:rPr>
        <w:t xml:space="preserve">Code anchor: Rule 3.401.</w:t>
      </w:r>
    </w:p>
    <w:p>
      <w:pPr>
        <w:pStyle w:val="Heading3"/>
      </w:pPr>
      <w:r>
        <w:rPr>
          <w:rFonts w:ascii="Arial" w:cs="Arial" w:eastAsia="Arial" w:hAnsi="Arial"/>
          <w:b/>
          <w:bCs/>
          <w:color w:val="222222"/>
          <w:sz w:val="22"/>
          <w:szCs w:val="22"/>
        </w:rPr>
        <w:t xml:space="preserve">Verification before reliance</w:t>
      </w:r>
    </w:p>
    <w:p>
      <w:pPr>
        <w:spacing w:after="120" w:before="0"/>
      </w:pPr>
      <w:r>
        <w:rPr>
          <w:rFonts w:ascii="Arial" w:cs="Arial" w:eastAsia="Arial" w:hAnsi="Arial"/>
          <w:b w:val="false"/>
          <w:bCs w:val="false"/>
          <w:i w:val="false"/>
          <w:iCs w:val="false"/>
          <w:sz w:val="22"/>
          <w:szCs w:val="22"/>
        </w:rPr>
        <w:t xml:space="preserve">AI outputs are treated as drafts or suggestions, not final answers. Current AI tools produce confident, fluent outputs that are sometimes wrong, fabricated, or unsupported — this is a structural feature, not a bug. The level of human review increases with the potential impact on health, safety, welfare, cost, schedule, or reputation.</w:t>
      </w:r>
    </w:p>
    <w:p>
      <w:pPr>
        <w:spacing w:after="100" w:before="0"/>
      </w:pPr>
      <w:r>
        <w:rPr>
          <w:rFonts w:ascii="Arial" w:cs="Arial" w:eastAsia="Arial" w:hAnsi="Arial"/>
          <w:b w:val="false"/>
          <w:bCs w:val="false"/>
          <w:i/>
          <w:iCs/>
          <w:sz w:val="22"/>
          <w:szCs w:val="22"/>
        </w:rPr>
        <w:t xml:space="preserve">Code anchor: Rule 1.101 (reasonable care and competence).</w:t>
      </w:r>
    </w:p>
    <w:p>
      <w:pPr>
        <w:pStyle w:val="Heading3"/>
      </w:pPr>
      <w:r>
        <w:rPr>
          <w:rFonts w:ascii="Arial" w:cs="Arial" w:eastAsia="Arial" w:hAnsi="Arial"/>
          <w:b/>
          <w:bCs/>
          <w:color w:val="222222"/>
          <w:sz w:val="22"/>
          <w:szCs w:val="22"/>
        </w:rPr>
        <w:t xml:space="preserve">Transparency and documentation</w:t>
      </w:r>
    </w:p>
    <w:p>
      <w:pPr>
        <w:spacing w:after="120" w:before="0"/>
      </w:pPr>
      <w:r>
        <w:rPr>
          <w:rFonts w:ascii="Arial" w:cs="Arial" w:eastAsia="Arial" w:hAnsi="Arial"/>
          <w:b w:val="false"/>
          <w:bCs w:val="false"/>
          <w:i w:val="false"/>
          <w:iCs w:val="false"/>
          <w:sz w:val="22"/>
          <w:szCs w:val="22"/>
        </w:rPr>
        <w:t xml:space="preserve">Significant uses of AI in project work — major analyses, narrative drafting, code checks, client-facing renderings — are documented in the project record: tool used, purpose, date, and who reviewed and approved the result. A simple AI Use Log template is provided in the appendix.</w:t>
      </w:r>
    </w:p>
    <w:p>
      <w:pPr>
        <w:pStyle w:val="Heading3"/>
      </w:pPr>
      <w:r>
        <w:rPr>
          <w:rFonts w:ascii="Arial" w:cs="Arial" w:eastAsia="Arial" w:hAnsi="Arial"/>
          <w:b/>
          <w:bCs/>
          <w:color w:val="222222"/>
          <w:sz w:val="22"/>
          <w:szCs w:val="22"/>
        </w:rPr>
        <w:t xml:space="preserve">Candor with clients</w:t>
      </w:r>
    </w:p>
    <w:p>
      <w:pPr>
        <w:spacing w:after="120" w:before="0"/>
      </w:pPr>
      <w:r>
        <w:rPr>
          <w:rFonts w:ascii="Arial" w:cs="Arial" w:eastAsia="Arial" w:hAnsi="Arial"/>
          <w:b w:val="false"/>
          <w:bCs w:val="false"/>
          <w:i w:val="false"/>
          <w:iCs w:val="false"/>
          <w:sz w:val="22"/>
          <w:szCs w:val="22"/>
        </w:rPr>
        <w:t xml:space="preserve">Substantive AI involvement in deliverables that clients rely on is disclosed. If a client asks how AI is being used on their project, staff answer plainly. The Client Disclosure section below details when and how to disclose.</w:t>
      </w:r>
    </w:p>
    <w:p>
      <w:pPr>
        <w:spacing w:after="100" w:before="0"/>
      </w:pPr>
      <w:r>
        <w:rPr>
          <w:rFonts w:ascii="Arial" w:cs="Arial" w:eastAsia="Arial" w:hAnsi="Arial"/>
          <w:b w:val="false"/>
          <w:bCs w:val="false"/>
          <w:i/>
          <w:iCs/>
          <w:sz w:val="22"/>
          <w:szCs w:val="22"/>
        </w:rPr>
        <w:t xml:space="preserve">Code anchor: Rule 3.301.</w:t>
      </w:r>
    </w:p>
    <w:p>
      <w:pPr>
        <w:pStyle w:val="Heading3"/>
      </w:pPr>
      <w:r>
        <w:rPr>
          <w:rFonts w:ascii="Arial" w:cs="Arial" w:eastAsia="Arial" w:hAnsi="Arial"/>
          <w:b/>
          <w:bCs/>
          <w:color w:val="222222"/>
          <w:sz w:val="22"/>
          <w:szCs w:val="22"/>
        </w:rPr>
        <w:t xml:space="preserve">Continuous learning and revision</w:t>
      </w:r>
    </w:p>
    <w:p>
      <w:pPr>
        <w:spacing w:after="200" w:before="0"/>
      </w:pPr>
      <w:r>
        <w:rPr>
          <w:rFonts w:ascii="Arial" w:cs="Arial" w:eastAsia="Arial" w:hAnsi="Arial"/>
          <w:b w:val="false"/>
          <w:bCs w:val="false"/>
          <w:i w:val="false"/>
          <w:iCs w:val="false"/>
          <w:sz w:val="22"/>
          <w:szCs w:val="22"/>
        </w:rPr>
        <w:t xml:space="preserve">AI capabilities, professional standards, and applicable law are changing quickly. This policy is a living document, reviewed at least annually and sooner when warranted.</w:t>
      </w:r>
    </w:p>
    <w:p>
      <w:pPr>
        <w:pStyle w:val="Heading2"/>
      </w:pPr>
      <w:r>
        <w:rPr>
          <w:rFonts w:ascii="Arial" w:cs="Arial" w:eastAsia="Arial" w:hAnsi="Arial"/>
          <w:b/>
          <w:bCs/>
          <w:color w:val="C41230"/>
          <w:sz w:val="26"/>
          <w:szCs w:val="26"/>
        </w:rPr>
        <w:t xml:space="preserve">3. Risk Tiers and Required Verification</w:t>
      </w:r>
    </w:p>
    <w:p>
      <w:pPr>
        <w:spacing w:after="120" w:before="0"/>
      </w:pPr>
      <w:r>
        <w:rPr>
          <w:rFonts w:ascii="Arial" w:cs="Arial" w:eastAsia="Arial" w:hAnsi="Arial"/>
          <w:b w:val="false"/>
          <w:bCs w:val="false"/>
          <w:i w:val="false"/>
          <w:iCs w:val="false"/>
          <w:sz w:val="22"/>
          <w:szCs w:val="22"/>
        </w:rPr>
        <w:t xml:space="preserve">Use this framework to classify each AI use and apply the corresponding review.</w:t>
      </w:r>
    </w:p>
    <w:tbl>
      <w:tblPr>
        <w:tblW w:type="dxa" w:w="1008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500"/>
        <w:gridCol w:w="4200"/>
        <w:gridCol w:w="4380"/>
      </w:tblGrid>
      <w:tr>
        <w:trPr>
          <w:tblHeader/>
        </w:trPr>
        <w:tc>
          <w:tcPr>
            <w:tcW w:type="dxa" w:w="150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222222" w:val="clear"/>
            <w:tcMar>
              <w:top w:type="dxa" w:w="90"/>
              <w:left w:type="dxa" w:w="120"/>
              <w:bottom w:type="dxa" w:w="90"/>
              <w:right w:type="dxa" w:w="120"/>
            </w:tcMar>
          </w:tcPr>
          <w:p>
            <w:pPr>
              <w:jc w:val="left"/>
            </w:pPr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Tier</w:t>
            </w:r>
          </w:p>
        </w:tc>
        <w:tc>
          <w:tcPr>
            <w:tcW w:type="dxa" w:w="420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222222" w:val="clear"/>
            <w:tcMar>
              <w:top w:type="dxa" w:w="90"/>
              <w:left w:type="dxa" w:w="120"/>
              <w:bottom w:type="dxa" w:w="90"/>
              <w:right w:type="dxa" w:w="120"/>
            </w:tcMar>
          </w:tcPr>
          <w:p>
            <w:pPr>
              <w:jc w:val="left"/>
            </w:pPr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Typical uses</w:t>
            </w:r>
          </w:p>
        </w:tc>
        <w:tc>
          <w:tcPr>
            <w:tcW w:type="dxa" w:w="438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222222" w:val="clear"/>
            <w:tcMar>
              <w:top w:type="dxa" w:w="90"/>
              <w:left w:type="dxa" w:w="120"/>
              <w:bottom w:type="dxa" w:w="90"/>
              <w:right w:type="dxa" w:w="120"/>
            </w:tcMar>
          </w:tcPr>
          <w:p>
            <w:pPr>
              <w:jc w:val="left"/>
            </w:pPr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Required review</w:t>
            </w:r>
          </w:p>
        </w:tc>
      </w:tr>
      <w:tr>
        <w:tc>
          <w:tcPr>
            <w:tcW w:type="dxa" w:w="150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D1FAE5" w:val="clear"/>
            <w:tcMar>
              <w:top w:type="dxa" w:w="90"/>
              <w:left w:type="dxa" w:w="120"/>
              <w:bottom w:type="dxa" w:w="90"/>
              <w:right w:type="dxa" w:w="120"/>
            </w:tcMar>
          </w:tcPr>
          <w:p>
            <w:pPr>
              <w:jc w:val="left"/>
            </w:pPr>
            <w:r>
              <w:rPr>
                <w:rFonts w:ascii="Arial" w:cs="Arial" w:eastAsia="Arial" w:hAnsi="Arial"/>
                <w:b/>
                <w:bCs/>
                <w:color w:val="065F46"/>
                <w:sz w:val="20"/>
                <w:szCs w:val="20"/>
              </w:rPr>
              <w:t xml:space="preserve">Low</w:t>
            </w:r>
          </w:p>
        </w:tc>
        <w:tc>
          <w:tcPr>
            <w:tcW w:type="dxa" w:w="420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90"/>
              <w:left w:type="dxa" w:w="120"/>
              <w:bottom w:type="dxa" w:w="90"/>
              <w:right w:type="dxa" w:w="120"/>
            </w:tcMar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222222"/>
                <w:sz w:val="18"/>
                <w:szCs w:val="18"/>
              </w:rPr>
              <w:t xml:space="preserve">Internal emails, meeting notes, formatting, internal-only image ideation, spell-check, brainstorming.</w:t>
            </w:r>
          </w:p>
        </w:tc>
        <w:tc>
          <w:tcPr>
            <w:tcW w:type="dxa" w:w="438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90"/>
              <w:left w:type="dxa" w:w="120"/>
              <w:bottom w:type="dxa" w:w="90"/>
              <w:right w:type="dxa" w:w="120"/>
            </w:tcMar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222222"/>
                <w:sz w:val="18"/>
                <w:szCs w:val="18"/>
              </w:rPr>
              <w:t xml:space="preserve">Quick reasonableness check by the user. No project record required.</w:t>
            </w:r>
          </w:p>
        </w:tc>
      </w:tr>
      <w:tr>
        <w:tc>
          <w:tcPr>
            <w:tcW w:type="dxa" w:w="150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FEF3C7" w:val="clear"/>
            <w:tcMar>
              <w:top w:type="dxa" w:w="90"/>
              <w:left w:type="dxa" w:w="120"/>
              <w:bottom w:type="dxa" w:w="90"/>
              <w:right w:type="dxa" w:w="120"/>
            </w:tcMar>
          </w:tcPr>
          <w:p>
            <w:pPr>
              <w:jc w:val="left"/>
            </w:pPr>
            <w:r>
              <w:rPr>
                <w:rFonts w:ascii="Arial" w:cs="Arial" w:eastAsia="Arial" w:hAnsi="Arial"/>
                <w:b/>
                <w:bCs/>
                <w:color w:val="92400E"/>
                <w:sz w:val="20"/>
                <w:szCs w:val="20"/>
              </w:rPr>
              <w:t xml:space="preserve">Medium</w:t>
            </w:r>
          </w:p>
        </w:tc>
        <w:tc>
          <w:tcPr>
            <w:tcW w:type="dxa" w:w="420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90"/>
              <w:left w:type="dxa" w:w="120"/>
              <w:bottom w:type="dxa" w:w="90"/>
              <w:right w:type="dxa" w:w="120"/>
            </w:tcMar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222222"/>
                <w:sz w:val="18"/>
                <w:szCs w:val="18"/>
              </w:rPr>
              <w:t xml:space="preserve">Zoning or code summaries; draft project narratives; spec boilerplate; client-facing renderings; options studies that inform but do not by themselves decide design direction; quick numeric estimates not used in stamped work.</w:t>
            </w:r>
          </w:p>
        </w:tc>
        <w:tc>
          <w:tcPr>
            <w:tcW w:type="dxa" w:w="438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90"/>
              <w:left w:type="dxa" w:w="120"/>
              <w:bottom w:type="dxa" w:w="90"/>
              <w:right w:type="dxa" w:w="120"/>
            </w:tcMar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222222"/>
                <w:sz w:val="18"/>
                <w:szCs w:val="18"/>
              </w:rPr>
              <w:t xml:space="preserve">Outputs checked against trusted sources (codes, standards, manuals). Edits made by staff. A note added to the project record for significant uses. Approval by Project Architect or PM.</w:t>
            </w:r>
          </w:p>
        </w:tc>
      </w:tr>
      <w:tr>
        <w:tc>
          <w:tcPr>
            <w:tcW w:type="dxa" w:w="150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FEE2E2" w:val="clear"/>
            <w:tcMar>
              <w:top w:type="dxa" w:w="90"/>
              <w:left w:type="dxa" w:w="120"/>
              <w:bottom w:type="dxa" w:w="90"/>
              <w:right w:type="dxa" w:w="120"/>
            </w:tcMar>
          </w:tcPr>
          <w:p>
            <w:pPr>
              <w:jc w:val="left"/>
            </w:pPr>
            <w:r>
              <w:rPr>
                <w:rFonts w:ascii="Arial" w:cs="Arial" w:eastAsia="Arial" w:hAnsi="Arial"/>
                <w:b/>
                <w:bCs/>
                <w:color w:val="991B1B"/>
                <w:sz w:val="20"/>
                <w:szCs w:val="20"/>
              </w:rPr>
              <w:t xml:space="preserve">High</w:t>
            </w:r>
          </w:p>
        </w:tc>
        <w:tc>
          <w:tcPr>
            <w:tcW w:type="dxa" w:w="420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90"/>
              <w:left w:type="dxa" w:w="120"/>
              <w:bottom w:type="dxa" w:w="90"/>
              <w:right w:type="dxa" w:w="120"/>
            </w:tcMar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222222"/>
                <w:sz w:val="18"/>
                <w:szCs w:val="18"/>
              </w:rPr>
              <w:t xml:space="preserve">Calculations or content informing stamped deliverables; life-safety analysis; accessibility compliance; final code interpretation; structural/MEP assumptions; contract language.</w:t>
            </w:r>
          </w:p>
        </w:tc>
        <w:tc>
          <w:tcPr>
            <w:tcW w:type="dxa" w:w="438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90"/>
              <w:left w:type="dxa" w:w="120"/>
              <w:bottom w:type="dxa" w:w="90"/>
              <w:right w:type="dxa" w:w="120"/>
            </w:tcMar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222222"/>
                <w:sz w:val="18"/>
                <w:szCs w:val="18"/>
              </w:rPr>
              <w:t xml:space="preserve">AI used only as a checking or exploratory tool. Final text, drawings, and calculations produced and/or fully re-verified by qualified humans using trusted methods. Use and review documented in the project record. Approval by Architect of Record.</w:t>
            </w:r>
          </w:p>
        </w:tc>
      </w:tr>
    </w:tbl>
    <w:p>
      <w:pPr>
        <w:spacing w:after="200" w:before="160"/>
      </w:pPr>
      <w:r>
        <w:rPr>
          <w:rFonts w:ascii="Arial" w:cs="Arial" w:eastAsia="Arial" w:hAnsi="Arial"/>
          <w:b/>
          <w:bCs/>
          <w:i w:val="false"/>
          <w:iCs w:val="false"/>
          <w:sz w:val="22"/>
          <w:szCs w:val="22"/>
        </w:rPr>
        <w:t xml:space="preserve">If an AI use does not clearly fit a tier, treat it as higher risk. </w:t>
      </w:r>
      <w:r>
        <w:rPr>
          <w:rFonts w:ascii="Arial" w:cs="Arial" w:eastAsia="Arial" w:hAnsi="Arial"/>
          <w:b w:val="false"/>
          <w:bCs w:val="false"/>
          <w:i w:val="false"/>
          <w:iCs w:val="false"/>
          <w:sz w:val="22"/>
          <w:szCs w:val="22"/>
        </w:rPr>
        <w:t xml:space="preserve">Note: AI routinely cites superseded code editions and fabricates product names and ASTM references. Verify every code citation against the jurisdiction's current adopted edition before relying on it.</w:t>
      </w:r>
    </w:p>
    <w:p>
      <w:pPr>
        <w:pStyle w:val="Heading2"/>
      </w:pPr>
      <w:r>
        <w:rPr>
          <w:rFonts w:ascii="Arial" w:cs="Arial" w:eastAsia="Arial" w:hAnsi="Arial"/>
          <w:b/>
          <w:bCs/>
          <w:color w:val="C41230"/>
          <w:sz w:val="26"/>
          <w:szCs w:val="26"/>
        </w:rPr>
        <w:t xml:space="preserve">4. Roles, Responsibilities, and the RACI Matrix</w:t>
      </w:r>
    </w:p>
    <w:p>
      <w:pPr>
        <w:spacing w:after="200" w:before="0"/>
      </w:pPr>
      <w:r>
        <w:rPr>
          <w:rFonts w:ascii="Arial" w:cs="Arial" w:eastAsia="Arial" w:hAnsi="Arial"/>
          <w:b/>
          <w:bCs/>
          <w:i w:val="false"/>
          <w:iCs w:val="false"/>
          <w:sz w:val="22"/>
          <w:szCs w:val="22"/>
        </w:rPr>
        <w:t xml:space="preserve">A note on role consolidation. </w:t>
      </w:r>
      <w:r>
        <w:rPr>
          <w:rFonts w:ascii="Arial" w:cs="Arial" w:eastAsia="Arial" w:hAnsi="Arial"/>
          <w:b w:val="false"/>
          <w:bCs w:val="false"/>
          <w:i w:val="false"/>
          <w:iCs w:val="false"/>
          <w:sz w:val="22"/>
          <w:szCs w:val="22"/>
        </w:rPr>
        <w:t xml:space="preserve">In smaller practices, or in any firm where roles are intentionally consolidated, one person commonly holds several of the roles below — Architect of Record, Project Manager, and AI Lead may all be the same person. The point of the matrix is not to mandate separate people; it is to make the chain of responsibility explicit so that nothing falls between roles, regardless of who is wearing which hat.</w:t>
      </w:r>
    </w:p>
    <w:p>
      <w:pPr>
        <w:pStyle w:val="Heading3"/>
      </w:pPr>
      <w:r>
        <w:rPr>
          <w:rFonts w:ascii="Arial" w:cs="Arial" w:eastAsia="Arial" w:hAnsi="Arial"/>
          <w:b/>
          <w:bCs/>
          <w:color w:val="222222"/>
          <w:sz w:val="22"/>
          <w:szCs w:val="22"/>
        </w:rPr>
        <w:t xml:space="preserve">Roles</w:t>
      </w:r>
    </w:p>
    <w:p>
      <w:pPr>
        <w:spacing w:after="80" w:before="0"/>
      </w:pPr>
      <w:r>
        <w:rPr>
          <w:rFonts w:ascii="Arial" w:cs="Arial" w:eastAsia="Arial" w:hAnsi="Arial"/>
          <w:b/>
          <w:bCs/>
          <w:i w:val="false"/>
          <w:iCs w:val="false"/>
          <w:sz w:val="22"/>
          <w:szCs w:val="22"/>
        </w:rPr>
        <w:t xml:space="preserve">All staff. </w:t>
      </w:r>
      <w:r>
        <w:rPr>
          <w:rFonts w:ascii="Arial" w:cs="Arial" w:eastAsia="Arial" w:hAnsi="Arial"/>
          <w:b w:val="false"/>
          <w:bCs w:val="false"/>
          <w:i w:val="false"/>
          <w:iCs w:val="false"/>
          <w:sz w:val="22"/>
          <w:szCs w:val="22"/>
        </w:rPr>
        <w:t xml:space="preserve">Follow this policy; classify AI uses by risk tier; verify outputs at the required level; avoid entering confidential data into unapproved tools; ask for guidance when unsure.</w:t>
      </w:r>
    </w:p>
    <w:p>
      <w:pPr>
        <w:spacing w:after="80" w:before="0"/>
      </w:pPr>
      <w:r>
        <w:rPr>
          <w:rFonts w:ascii="Arial" w:cs="Arial" w:eastAsia="Arial" w:hAnsi="Arial"/>
          <w:b/>
          <w:bCs/>
          <w:i w:val="false"/>
          <w:iCs w:val="false"/>
          <w:sz w:val="22"/>
          <w:szCs w:val="22"/>
        </w:rPr>
        <w:t xml:space="preserve">Project Architects / Project Managers. </w:t>
      </w:r>
      <w:r>
        <w:rPr>
          <w:rFonts w:ascii="Arial" w:cs="Arial" w:eastAsia="Arial" w:hAnsi="Arial"/>
          <w:b w:val="false"/>
          <w:bCs w:val="false"/>
          <w:i w:val="false"/>
          <w:iCs w:val="false"/>
          <w:sz w:val="22"/>
          <w:szCs w:val="22"/>
        </w:rPr>
        <w:t xml:space="preserve">Decide which AI tools and use cases are appropriate for each project; ensure medium- and high-risk uses are reviewed and documented; communicate AI-related assumptions to clients when relevant.</w:t>
      </w:r>
    </w:p>
    <w:p>
      <w:pPr>
        <w:spacing w:after="80" w:before="0"/>
      </w:pPr>
      <w:r>
        <w:rPr>
          <w:rFonts w:ascii="Arial" w:cs="Arial" w:eastAsia="Arial" w:hAnsi="Arial"/>
          <w:b/>
          <w:bCs/>
          <w:i w:val="false"/>
          <w:iCs w:val="false"/>
          <w:sz w:val="22"/>
          <w:szCs w:val="22"/>
        </w:rPr>
        <w:t xml:space="preserve">Licensed Professionals (Architect of Record and discipline leads). </w:t>
      </w:r>
      <w:r>
        <w:rPr>
          <w:rFonts w:ascii="Arial" w:cs="Arial" w:eastAsia="Arial" w:hAnsi="Arial"/>
          <w:b w:val="false"/>
          <w:bCs w:val="false"/>
          <w:i w:val="false"/>
          <w:iCs w:val="false"/>
          <w:sz w:val="22"/>
          <w:szCs w:val="22"/>
        </w:rPr>
        <w:t xml:space="preserve">Retain final authority over sealed documents and code interpretations; determine when AI may be used in analysis; confirm verification requirements have been met before signing or sealing.</w:t>
      </w:r>
    </w:p>
    <w:p>
      <w:pPr>
        <w:spacing w:after="200" w:before="0"/>
      </w:pPr>
      <w:r>
        <w:rPr>
          <w:rFonts w:ascii="Arial" w:cs="Arial" w:eastAsia="Arial" w:hAnsi="Arial"/>
          <w:b/>
          <w:bCs/>
          <w:i w:val="false"/>
          <w:iCs w:val="false"/>
          <w:sz w:val="22"/>
          <w:szCs w:val="22"/>
        </w:rPr>
        <w:t xml:space="preserve">Firm Leadership / AI Lead. </w:t>
      </w:r>
      <w:r>
        <w:rPr>
          <w:rFonts w:ascii="Arial" w:cs="Arial" w:eastAsia="Arial" w:hAnsi="Arial"/>
          <w:b w:val="false"/>
          <w:bCs w:val="false"/>
          <w:i w:val="false"/>
          <w:iCs w:val="false"/>
          <w:sz w:val="22"/>
          <w:szCs w:val="22"/>
        </w:rPr>
        <w:t xml:space="preserve">Approve the list of permitted AI tools; maintain this policy; provide training; monitor incidents and near-misses; adjust practice accordingly.</w:t>
      </w:r>
    </w:p>
    <w:p>
      <w:pPr>
        <w:pStyle w:val="Heading3"/>
      </w:pPr>
      <w:r>
        <w:rPr>
          <w:rFonts w:ascii="Arial" w:cs="Arial" w:eastAsia="Arial" w:hAnsi="Arial"/>
          <w:b/>
          <w:bCs/>
          <w:color w:val="222222"/>
          <w:sz w:val="22"/>
          <w:szCs w:val="22"/>
        </w:rPr>
        <w:t xml:space="preserve">RACI Matrix</w:t>
      </w:r>
    </w:p>
    <w:p>
      <w:pPr>
        <w:spacing w:after="100" w:before="0"/>
      </w:pPr>
      <w:r>
        <w:rPr>
          <w:rFonts w:ascii="Arial" w:cs="Arial" w:eastAsia="Arial" w:hAnsi="Arial"/>
          <w:b w:val="false"/>
          <w:bCs w:val="false"/>
          <w:i/>
          <w:iCs/>
          <w:sz w:val="22"/>
          <w:szCs w:val="22"/>
        </w:rPr>
        <w:t xml:space="preserve">R = Responsible (does the work). A = Accountable (final sign-off). C = Consulted (input before decision). I = Informed (kept aware). One person can hold multiple letters in a small firm.</w:t>
      </w:r>
    </w:p>
    <w:tbl>
      <w:tblPr>
        <w:tblW w:type="dxa" w:w="1008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700"/>
        <w:gridCol w:w="1476"/>
        <w:gridCol w:w="1476"/>
        <w:gridCol w:w="1476"/>
        <w:gridCol w:w="1476"/>
        <w:gridCol w:w="1476"/>
      </w:tblGrid>
      <w:tr>
        <w:trPr>
          <w:tblHeader/>
        </w:trPr>
        <w:tc>
          <w:tcPr>
            <w:tcW w:type="dxa" w:w="270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222222" w:val="clear"/>
            <w:tcMar>
              <w:top w:type="dxa" w:w="90"/>
              <w:left w:type="dxa" w:w="120"/>
              <w:bottom w:type="dxa" w:w="90"/>
              <w:right w:type="dxa" w:w="120"/>
            </w:tcMar>
          </w:tcPr>
          <w:p>
            <w:pPr>
              <w:jc w:val="left"/>
            </w:pPr>
            <w:r>
              <w:rPr>
                <w:rFonts w:ascii="Arial" w:cs="Arial" w:eastAsia="Arial" w:hAnsi="Arial"/>
                <w:b/>
                <w:bCs/>
                <w:color w:val="FFFFFF"/>
                <w:sz w:val="16"/>
                <w:szCs w:val="16"/>
              </w:rPr>
              <w:t xml:space="preserve">AI activity</w:t>
            </w:r>
          </w:p>
        </w:tc>
        <w:tc>
          <w:tcPr>
            <w:tcW w:type="dxa" w:w="1476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222222" w:val="clear"/>
            <w:tcMar>
              <w:top w:type="dxa" w:w="90"/>
              <w:left w:type="dxa" w:w="120"/>
              <w:bottom w:type="dxa" w:w="90"/>
              <w:right w:type="dxa" w:w="120"/>
            </w:tcMar>
          </w:tcPr>
          <w:p>
            <w:pPr>
              <w:jc w:val="left"/>
            </w:pPr>
            <w:r>
              <w:rPr>
                <w:rFonts w:ascii="Arial" w:cs="Arial" w:eastAsia="Arial" w:hAnsi="Arial"/>
                <w:b/>
                <w:bCs/>
                <w:color w:val="FFFFFF"/>
                <w:sz w:val="16"/>
                <w:szCs w:val="16"/>
              </w:rPr>
              <w:t xml:space="preserve">Staff / Designer</w:t>
            </w:r>
          </w:p>
        </w:tc>
        <w:tc>
          <w:tcPr>
            <w:tcW w:type="dxa" w:w="1476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222222" w:val="clear"/>
            <w:tcMar>
              <w:top w:type="dxa" w:w="90"/>
              <w:left w:type="dxa" w:w="120"/>
              <w:bottom w:type="dxa" w:w="90"/>
              <w:right w:type="dxa" w:w="120"/>
            </w:tcMar>
          </w:tcPr>
          <w:p>
            <w:pPr>
              <w:jc w:val="left"/>
            </w:pPr>
            <w:r>
              <w:rPr>
                <w:rFonts w:ascii="Arial" w:cs="Arial" w:eastAsia="Arial" w:hAnsi="Arial"/>
                <w:b/>
                <w:bCs/>
                <w:color w:val="FFFFFF"/>
                <w:sz w:val="16"/>
                <w:szCs w:val="16"/>
              </w:rPr>
              <w:t xml:space="preserve">PA / PM</w:t>
            </w:r>
          </w:p>
        </w:tc>
        <w:tc>
          <w:tcPr>
            <w:tcW w:type="dxa" w:w="1476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222222" w:val="clear"/>
            <w:tcMar>
              <w:top w:type="dxa" w:w="90"/>
              <w:left w:type="dxa" w:w="120"/>
              <w:bottom w:type="dxa" w:w="90"/>
              <w:right w:type="dxa" w:w="120"/>
            </w:tcMar>
          </w:tcPr>
          <w:p>
            <w:pPr>
              <w:jc w:val="left"/>
            </w:pPr>
            <w:r>
              <w:rPr>
                <w:rFonts w:ascii="Arial" w:cs="Arial" w:eastAsia="Arial" w:hAnsi="Arial"/>
                <w:b/>
                <w:bCs/>
                <w:color w:val="FFFFFF"/>
                <w:sz w:val="16"/>
                <w:szCs w:val="16"/>
              </w:rPr>
              <w:t xml:space="preserve">Licensed Pro / AoR</w:t>
            </w:r>
          </w:p>
        </w:tc>
        <w:tc>
          <w:tcPr>
            <w:tcW w:type="dxa" w:w="1476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222222" w:val="clear"/>
            <w:tcMar>
              <w:top w:type="dxa" w:w="90"/>
              <w:left w:type="dxa" w:w="120"/>
              <w:bottom w:type="dxa" w:w="90"/>
              <w:right w:type="dxa" w:w="120"/>
            </w:tcMar>
          </w:tcPr>
          <w:p>
            <w:pPr>
              <w:jc w:val="left"/>
            </w:pPr>
            <w:r>
              <w:rPr>
                <w:rFonts w:ascii="Arial" w:cs="Arial" w:eastAsia="Arial" w:hAnsi="Arial"/>
                <w:b/>
                <w:bCs/>
                <w:color w:val="FFFFFF"/>
                <w:sz w:val="16"/>
                <w:szCs w:val="16"/>
              </w:rPr>
              <w:t xml:space="preserve">Firm Lead / AI Lead</w:t>
            </w:r>
          </w:p>
        </w:tc>
        <w:tc>
          <w:tcPr>
            <w:tcW w:type="dxa" w:w="1476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222222" w:val="clear"/>
            <w:tcMar>
              <w:top w:type="dxa" w:w="90"/>
              <w:left w:type="dxa" w:w="120"/>
              <w:bottom w:type="dxa" w:w="90"/>
              <w:right w:type="dxa" w:w="120"/>
            </w:tcMar>
          </w:tcPr>
          <w:p>
            <w:pPr>
              <w:jc w:val="left"/>
            </w:pPr>
            <w:r>
              <w:rPr>
                <w:rFonts w:ascii="Arial" w:cs="Arial" w:eastAsia="Arial" w:hAnsi="Arial"/>
                <w:b/>
                <w:bCs/>
                <w:color w:val="FFFFFF"/>
                <w:sz w:val="16"/>
                <w:szCs w:val="16"/>
              </w:rPr>
              <w:t xml:space="preserve">Counsel / Insurer</w:t>
            </w:r>
          </w:p>
        </w:tc>
      </w:tr>
      <w:tr>
        <w:tc>
          <w:tcPr>
            <w:tcW w:type="dxa" w:w="270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F7F7F5" w:val="clear"/>
            <w:tcMar>
              <w:top w:type="dxa" w:w="90"/>
              <w:left w:type="dxa" w:w="120"/>
              <w:bottom w:type="dxa" w:w="90"/>
              <w:right w:type="dxa" w:w="120"/>
            </w:tcMar>
          </w:tcPr>
          <w:p>
            <w:pPr>
              <w:jc w:val="left"/>
            </w:pPr>
            <w:r>
              <w:rPr>
                <w:rFonts w:ascii="Arial" w:cs="Arial" w:eastAsia="Arial" w:hAnsi="Arial"/>
                <w:b/>
                <w:bCs/>
                <w:color w:val="222222"/>
                <w:sz w:val="16"/>
                <w:szCs w:val="16"/>
              </w:rPr>
              <w:t xml:space="preserve">Use AI for low-risk internal tasks (drafting emails, meeting notes, formatting, internal-only image ideation)</w:t>
            </w:r>
          </w:p>
        </w:tc>
        <w:tc>
          <w:tcPr>
            <w:tcW w:type="dxa" w:w="1476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F7F7F5" w:val="clear"/>
            <w:tcMar>
              <w:top w:type="dxa" w:w="90"/>
              <w:left w:type="dxa" w:w="120"/>
              <w:bottom w:type="dxa" w:w="90"/>
              <w:right w:type="dxa" w:w="120"/>
            </w:tcMar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222222"/>
                <w:sz w:val="14"/>
                <w:szCs w:val="14"/>
              </w:rPr>
              <w:t xml:space="preserve">R / A — uses tools, self-checks</w:t>
            </w:r>
          </w:p>
        </w:tc>
        <w:tc>
          <w:tcPr>
            <w:tcW w:type="dxa" w:w="1476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F7F7F5" w:val="clear"/>
            <w:tcMar>
              <w:top w:type="dxa" w:w="90"/>
              <w:left w:type="dxa" w:w="120"/>
              <w:bottom w:type="dxa" w:w="90"/>
              <w:right w:type="dxa" w:w="120"/>
            </w:tcMar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222222"/>
                <w:sz w:val="14"/>
                <w:szCs w:val="14"/>
              </w:rPr>
              <w:t xml:space="preserve">I — aware of patterns</w:t>
            </w:r>
          </w:p>
        </w:tc>
        <w:tc>
          <w:tcPr>
            <w:tcW w:type="dxa" w:w="1476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F7F7F5" w:val="clear"/>
            <w:tcMar>
              <w:top w:type="dxa" w:w="90"/>
              <w:left w:type="dxa" w:w="120"/>
              <w:bottom w:type="dxa" w:w="90"/>
              <w:right w:type="dxa" w:w="120"/>
            </w:tcMar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222222"/>
                <w:sz w:val="14"/>
                <w:szCs w:val="14"/>
              </w:rPr>
              <w:t xml:space="preserve">I — only if oversight relevant</w:t>
            </w:r>
          </w:p>
        </w:tc>
        <w:tc>
          <w:tcPr>
            <w:tcW w:type="dxa" w:w="1476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F7F7F5" w:val="clear"/>
            <w:tcMar>
              <w:top w:type="dxa" w:w="90"/>
              <w:left w:type="dxa" w:w="120"/>
              <w:bottom w:type="dxa" w:w="90"/>
              <w:right w:type="dxa" w:w="120"/>
            </w:tcMar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222222"/>
                <w:sz w:val="14"/>
                <w:szCs w:val="14"/>
              </w:rPr>
              <w:t xml:space="preserve">I — only if policy changes needed</w:t>
            </w:r>
          </w:p>
        </w:tc>
        <w:tc>
          <w:tcPr>
            <w:tcW w:type="dxa" w:w="1476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F7F7F5" w:val="clear"/>
            <w:tcMar>
              <w:top w:type="dxa" w:w="90"/>
              <w:left w:type="dxa" w:w="120"/>
              <w:bottom w:type="dxa" w:w="90"/>
              <w:right w:type="dxa" w:w="120"/>
            </w:tcMar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222222"/>
                <w:sz w:val="14"/>
                <w:szCs w:val="14"/>
              </w:rPr>
              <w:t xml:space="preserve">—</w:t>
            </w:r>
          </w:p>
        </w:tc>
      </w:tr>
      <w:tr>
        <w:tc>
          <w:tcPr>
            <w:tcW w:type="dxa" w:w="270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90"/>
              <w:left w:type="dxa" w:w="120"/>
              <w:bottom w:type="dxa" w:w="90"/>
              <w:right w:type="dxa" w:w="120"/>
            </w:tcMar>
          </w:tcPr>
          <w:p>
            <w:pPr>
              <w:jc w:val="left"/>
            </w:pPr>
            <w:r>
              <w:rPr>
                <w:rFonts w:ascii="Arial" w:cs="Arial" w:eastAsia="Arial" w:hAnsi="Arial"/>
                <w:b/>
                <w:bCs/>
                <w:color w:val="222222"/>
                <w:sz w:val="16"/>
                <w:szCs w:val="16"/>
              </w:rPr>
              <w:t xml:space="preserve">Use AI for medium-risk project tasks (zoning summaries, draft narratives, boilerplate specs, client-facing renderings)</w:t>
            </w:r>
          </w:p>
        </w:tc>
        <w:tc>
          <w:tcPr>
            <w:tcW w:type="dxa" w:w="1476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90"/>
              <w:left w:type="dxa" w:w="120"/>
              <w:bottom w:type="dxa" w:w="90"/>
              <w:right w:type="dxa" w:w="120"/>
            </w:tcMar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222222"/>
                <w:sz w:val="14"/>
                <w:szCs w:val="14"/>
              </w:rPr>
              <w:t xml:space="preserve">R — runs AI, prepares draft</w:t>
            </w:r>
          </w:p>
        </w:tc>
        <w:tc>
          <w:tcPr>
            <w:tcW w:type="dxa" w:w="1476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90"/>
              <w:left w:type="dxa" w:w="120"/>
              <w:bottom w:type="dxa" w:w="90"/>
              <w:right w:type="dxa" w:w="120"/>
            </w:tcMar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222222"/>
                <w:sz w:val="14"/>
                <w:szCs w:val="14"/>
              </w:rPr>
              <w:t xml:space="preserve">A — reviews, edits, decides usability; records significant use</w:t>
            </w:r>
          </w:p>
        </w:tc>
        <w:tc>
          <w:tcPr>
            <w:tcW w:type="dxa" w:w="1476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90"/>
              <w:left w:type="dxa" w:w="120"/>
              <w:bottom w:type="dxa" w:w="90"/>
              <w:right w:type="dxa" w:w="120"/>
            </w:tcMar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222222"/>
                <w:sz w:val="14"/>
                <w:szCs w:val="14"/>
              </w:rPr>
              <w:t xml:space="preserve">C — consulted on sensitive issues</w:t>
            </w:r>
          </w:p>
        </w:tc>
        <w:tc>
          <w:tcPr>
            <w:tcW w:type="dxa" w:w="1476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90"/>
              <w:left w:type="dxa" w:w="120"/>
              <w:bottom w:type="dxa" w:w="90"/>
              <w:right w:type="dxa" w:w="120"/>
            </w:tcMar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222222"/>
                <w:sz w:val="14"/>
                <w:szCs w:val="14"/>
              </w:rPr>
              <w:t xml:space="preserve">I — if becomes standard workflow</w:t>
            </w:r>
          </w:p>
        </w:tc>
        <w:tc>
          <w:tcPr>
            <w:tcW w:type="dxa" w:w="1476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90"/>
              <w:left w:type="dxa" w:w="120"/>
              <w:bottom w:type="dxa" w:w="90"/>
              <w:right w:type="dxa" w:w="120"/>
            </w:tcMar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222222"/>
                <w:sz w:val="14"/>
                <w:szCs w:val="14"/>
              </w:rPr>
              <w:t xml:space="preserve">—</w:t>
            </w:r>
          </w:p>
        </w:tc>
      </w:tr>
      <w:tr>
        <w:tc>
          <w:tcPr>
            <w:tcW w:type="dxa" w:w="270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F7F7F5" w:val="clear"/>
            <w:tcMar>
              <w:top w:type="dxa" w:w="90"/>
              <w:left w:type="dxa" w:w="120"/>
              <w:bottom w:type="dxa" w:w="90"/>
              <w:right w:type="dxa" w:w="120"/>
            </w:tcMar>
          </w:tcPr>
          <w:p>
            <w:pPr>
              <w:jc w:val="left"/>
            </w:pPr>
            <w:r>
              <w:rPr>
                <w:rFonts w:ascii="Arial" w:cs="Arial" w:eastAsia="Arial" w:hAnsi="Arial"/>
                <w:b/>
                <w:bCs/>
                <w:color w:val="222222"/>
                <w:sz w:val="16"/>
                <w:szCs w:val="16"/>
              </w:rPr>
              <w:t xml:space="preserve">Use AI for high-risk project tasks (life-safety, accessibility, content informing stamped deliverables)</w:t>
            </w:r>
          </w:p>
        </w:tc>
        <w:tc>
          <w:tcPr>
            <w:tcW w:type="dxa" w:w="1476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F7F7F5" w:val="clear"/>
            <w:tcMar>
              <w:top w:type="dxa" w:w="90"/>
              <w:left w:type="dxa" w:w="120"/>
              <w:bottom w:type="dxa" w:w="90"/>
              <w:right w:type="dxa" w:w="120"/>
            </w:tcMar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222222"/>
                <w:sz w:val="14"/>
                <w:szCs w:val="14"/>
              </w:rPr>
              <w:t xml:space="preserve">R — exploratory checks only, if permitted</w:t>
            </w:r>
          </w:p>
        </w:tc>
        <w:tc>
          <w:tcPr>
            <w:tcW w:type="dxa" w:w="1476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F7F7F5" w:val="clear"/>
            <w:tcMar>
              <w:top w:type="dxa" w:w="90"/>
              <w:left w:type="dxa" w:w="120"/>
              <w:bottom w:type="dxa" w:w="90"/>
              <w:right w:type="dxa" w:w="120"/>
            </w:tcMar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222222"/>
                <w:sz w:val="14"/>
                <w:szCs w:val="14"/>
              </w:rPr>
              <w:t xml:space="preserve">C — reviews, flags issues, prepares for decision</w:t>
            </w:r>
          </w:p>
        </w:tc>
        <w:tc>
          <w:tcPr>
            <w:tcW w:type="dxa" w:w="1476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F7F7F5" w:val="clear"/>
            <w:tcMar>
              <w:top w:type="dxa" w:w="90"/>
              <w:left w:type="dxa" w:w="120"/>
              <w:bottom w:type="dxa" w:w="90"/>
              <w:right w:type="dxa" w:w="120"/>
            </w:tcMar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222222"/>
                <w:sz w:val="14"/>
                <w:szCs w:val="14"/>
              </w:rPr>
              <w:t xml:space="preserve">A — accepts AI output as input; confirms independent verification before relying</w:t>
            </w:r>
          </w:p>
        </w:tc>
        <w:tc>
          <w:tcPr>
            <w:tcW w:type="dxa" w:w="1476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F7F7F5" w:val="clear"/>
            <w:tcMar>
              <w:top w:type="dxa" w:w="90"/>
              <w:left w:type="dxa" w:w="120"/>
              <w:bottom w:type="dxa" w:w="90"/>
              <w:right w:type="dxa" w:w="120"/>
            </w:tcMar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222222"/>
                <w:sz w:val="14"/>
                <w:szCs w:val="14"/>
              </w:rPr>
              <w:t xml:space="preserve">I — informed of patterns and incidents</w:t>
            </w:r>
          </w:p>
        </w:tc>
        <w:tc>
          <w:tcPr>
            <w:tcW w:type="dxa" w:w="1476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F7F7F5" w:val="clear"/>
            <w:tcMar>
              <w:top w:type="dxa" w:w="90"/>
              <w:left w:type="dxa" w:w="120"/>
              <w:bottom w:type="dxa" w:w="90"/>
              <w:right w:type="dxa" w:w="120"/>
            </w:tcMar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222222"/>
                <w:sz w:val="14"/>
                <w:szCs w:val="14"/>
              </w:rPr>
              <w:t xml:space="preserve">C — on overall risk posture or after incidents</w:t>
            </w:r>
          </w:p>
        </w:tc>
      </w:tr>
      <w:tr>
        <w:tc>
          <w:tcPr>
            <w:tcW w:type="dxa" w:w="270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90"/>
              <w:left w:type="dxa" w:w="120"/>
              <w:bottom w:type="dxa" w:w="90"/>
              <w:right w:type="dxa" w:w="120"/>
            </w:tcMar>
          </w:tcPr>
          <w:p>
            <w:pPr>
              <w:jc w:val="left"/>
            </w:pPr>
            <w:r>
              <w:rPr>
                <w:rFonts w:ascii="Arial" w:cs="Arial" w:eastAsia="Arial" w:hAnsi="Arial"/>
                <w:b/>
                <w:bCs/>
                <w:color w:val="222222"/>
                <w:sz w:val="16"/>
                <w:szCs w:val="16"/>
              </w:rPr>
              <w:t xml:space="preserve">Decide to rely on AI output in client-facing reports or narratives</w:t>
            </w:r>
          </w:p>
        </w:tc>
        <w:tc>
          <w:tcPr>
            <w:tcW w:type="dxa" w:w="1476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90"/>
              <w:left w:type="dxa" w:w="120"/>
              <w:bottom w:type="dxa" w:w="90"/>
              <w:right w:type="dxa" w:w="120"/>
            </w:tcMar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222222"/>
                <w:sz w:val="14"/>
                <w:szCs w:val="14"/>
              </w:rPr>
              <w:t xml:space="preserve">R — prepares draft text/figures</w:t>
            </w:r>
          </w:p>
        </w:tc>
        <w:tc>
          <w:tcPr>
            <w:tcW w:type="dxa" w:w="1476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90"/>
              <w:left w:type="dxa" w:w="120"/>
              <w:bottom w:type="dxa" w:w="90"/>
              <w:right w:type="dxa" w:w="120"/>
            </w:tcMar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222222"/>
                <w:sz w:val="14"/>
                <w:szCs w:val="14"/>
              </w:rPr>
              <w:t xml:space="preserve">C — ensures accurate, understandable to client</w:t>
            </w:r>
          </w:p>
        </w:tc>
        <w:tc>
          <w:tcPr>
            <w:tcW w:type="dxa" w:w="1476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90"/>
              <w:left w:type="dxa" w:w="120"/>
              <w:bottom w:type="dxa" w:w="90"/>
              <w:right w:type="dxa" w:w="120"/>
            </w:tcMar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222222"/>
                <w:sz w:val="14"/>
                <w:szCs w:val="14"/>
              </w:rPr>
              <w:t xml:space="preserve">A — approves inclusion or requires revision</w:t>
            </w:r>
          </w:p>
        </w:tc>
        <w:tc>
          <w:tcPr>
            <w:tcW w:type="dxa" w:w="1476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90"/>
              <w:left w:type="dxa" w:w="120"/>
              <w:bottom w:type="dxa" w:w="90"/>
              <w:right w:type="dxa" w:w="120"/>
            </w:tcMar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222222"/>
                <w:sz w:val="14"/>
                <w:szCs w:val="14"/>
              </w:rPr>
              <w:t xml:space="preserve">I — for major or repeated uses</w:t>
            </w:r>
          </w:p>
        </w:tc>
        <w:tc>
          <w:tcPr>
            <w:tcW w:type="dxa" w:w="1476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90"/>
              <w:left w:type="dxa" w:w="120"/>
              <w:bottom w:type="dxa" w:w="90"/>
              <w:right w:type="dxa" w:w="120"/>
            </w:tcMar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222222"/>
                <w:sz w:val="14"/>
                <w:szCs w:val="14"/>
              </w:rPr>
              <w:t xml:space="preserve">C — if language touches liability</w:t>
            </w:r>
          </w:p>
        </w:tc>
      </w:tr>
      <w:tr>
        <w:tc>
          <w:tcPr>
            <w:tcW w:type="dxa" w:w="270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F7F7F5" w:val="clear"/>
            <w:tcMar>
              <w:top w:type="dxa" w:w="90"/>
              <w:left w:type="dxa" w:w="120"/>
              <w:bottom w:type="dxa" w:w="90"/>
              <w:right w:type="dxa" w:w="120"/>
            </w:tcMar>
          </w:tcPr>
          <w:p>
            <w:pPr>
              <w:jc w:val="left"/>
            </w:pPr>
            <w:r>
              <w:rPr>
                <w:rFonts w:ascii="Arial" w:cs="Arial" w:eastAsia="Arial" w:hAnsi="Arial"/>
                <w:b/>
                <w:bCs/>
                <w:color w:val="222222"/>
                <w:sz w:val="16"/>
                <w:szCs w:val="16"/>
              </w:rPr>
              <w:t xml:space="preserve">Incorporate AI-influenced information into stamped drawings/specs</w:t>
            </w:r>
          </w:p>
        </w:tc>
        <w:tc>
          <w:tcPr>
            <w:tcW w:type="dxa" w:w="1476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F7F7F5" w:val="clear"/>
            <w:tcMar>
              <w:top w:type="dxa" w:w="90"/>
              <w:left w:type="dxa" w:w="120"/>
              <w:bottom w:type="dxa" w:w="90"/>
              <w:right w:type="dxa" w:w="120"/>
            </w:tcMar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222222"/>
                <w:sz w:val="14"/>
                <w:szCs w:val="14"/>
              </w:rPr>
              <w:t xml:space="preserve">R — implements as directed</w:t>
            </w:r>
          </w:p>
        </w:tc>
        <w:tc>
          <w:tcPr>
            <w:tcW w:type="dxa" w:w="1476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F7F7F5" w:val="clear"/>
            <w:tcMar>
              <w:top w:type="dxa" w:w="90"/>
              <w:left w:type="dxa" w:w="120"/>
              <w:bottom w:type="dxa" w:w="90"/>
              <w:right w:type="dxa" w:w="120"/>
            </w:tcMar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222222"/>
                <w:sz w:val="14"/>
                <w:szCs w:val="14"/>
              </w:rPr>
              <w:t xml:space="preserve">C — checks alignment with intent and constraints</w:t>
            </w:r>
          </w:p>
        </w:tc>
        <w:tc>
          <w:tcPr>
            <w:tcW w:type="dxa" w:w="1476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F7F7F5" w:val="clear"/>
            <w:tcMar>
              <w:top w:type="dxa" w:w="90"/>
              <w:left w:type="dxa" w:w="120"/>
              <w:bottom w:type="dxa" w:w="90"/>
              <w:right w:type="dxa" w:w="120"/>
            </w:tcMar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222222"/>
                <w:sz w:val="14"/>
                <w:szCs w:val="14"/>
              </w:rPr>
              <w:t xml:space="preserve">A — takes professional responsibility; verifies critical items via trusted methods before sealing</w:t>
            </w:r>
          </w:p>
        </w:tc>
        <w:tc>
          <w:tcPr>
            <w:tcW w:type="dxa" w:w="1476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F7F7F5" w:val="clear"/>
            <w:tcMar>
              <w:top w:type="dxa" w:w="90"/>
              <w:left w:type="dxa" w:w="120"/>
              <w:bottom w:type="dxa" w:w="90"/>
              <w:right w:type="dxa" w:w="120"/>
            </w:tcMar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222222"/>
                <w:sz w:val="14"/>
                <w:szCs w:val="14"/>
              </w:rPr>
              <w:t xml:space="preserve">I — for recurring patterns or new tools</w:t>
            </w:r>
          </w:p>
        </w:tc>
        <w:tc>
          <w:tcPr>
            <w:tcW w:type="dxa" w:w="1476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F7F7F5" w:val="clear"/>
            <w:tcMar>
              <w:top w:type="dxa" w:w="90"/>
              <w:left w:type="dxa" w:w="120"/>
              <w:bottom w:type="dxa" w:w="90"/>
              <w:right w:type="dxa" w:w="120"/>
            </w:tcMar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222222"/>
                <w:sz w:val="14"/>
                <w:szCs w:val="14"/>
              </w:rPr>
              <w:t xml:space="preserve">C — if required by insurer or after a claim</w:t>
            </w:r>
          </w:p>
        </w:tc>
      </w:tr>
      <w:tr>
        <w:tc>
          <w:tcPr>
            <w:tcW w:type="dxa" w:w="270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90"/>
              <w:left w:type="dxa" w:w="120"/>
              <w:bottom w:type="dxa" w:w="90"/>
              <w:right w:type="dxa" w:w="120"/>
            </w:tcMar>
          </w:tcPr>
          <w:p>
            <w:pPr>
              <w:jc w:val="left"/>
            </w:pPr>
            <w:r>
              <w:rPr>
                <w:rFonts w:ascii="Arial" w:cs="Arial" w:eastAsia="Arial" w:hAnsi="Arial"/>
                <w:b/>
                <w:bCs/>
                <w:color w:val="222222"/>
                <w:sz w:val="16"/>
                <w:szCs w:val="16"/>
              </w:rPr>
              <w:t xml:space="preserve">Disclose AI involvement to a client</w:t>
            </w:r>
          </w:p>
        </w:tc>
        <w:tc>
          <w:tcPr>
            <w:tcW w:type="dxa" w:w="1476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90"/>
              <w:left w:type="dxa" w:w="120"/>
              <w:bottom w:type="dxa" w:w="90"/>
              <w:right w:type="dxa" w:w="120"/>
            </w:tcMar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222222"/>
                <w:sz w:val="14"/>
                <w:szCs w:val="14"/>
              </w:rPr>
              <w:t xml:space="preserve">I — when asked by PM/PA</w:t>
            </w:r>
          </w:p>
        </w:tc>
        <w:tc>
          <w:tcPr>
            <w:tcW w:type="dxa" w:w="1476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90"/>
              <w:left w:type="dxa" w:w="120"/>
              <w:bottom w:type="dxa" w:w="90"/>
              <w:right w:type="dxa" w:w="120"/>
            </w:tcMar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222222"/>
                <w:sz w:val="14"/>
                <w:szCs w:val="14"/>
              </w:rPr>
              <w:t xml:space="preserve">R — drafts disclosure language; flags to AoR for sign-off</w:t>
            </w:r>
          </w:p>
        </w:tc>
        <w:tc>
          <w:tcPr>
            <w:tcW w:type="dxa" w:w="1476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90"/>
              <w:left w:type="dxa" w:w="120"/>
              <w:bottom w:type="dxa" w:w="90"/>
              <w:right w:type="dxa" w:w="120"/>
            </w:tcMar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222222"/>
                <w:sz w:val="14"/>
                <w:szCs w:val="14"/>
              </w:rPr>
              <w:t xml:space="preserve">A — approves the form and timing of disclosure</w:t>
            </w:r>
          </w:p>
        </w:tc>
        <w:tc>
          <w:tcPr>
            <w:tcW w:type="dxa" w:w="1476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90"/>
              <w:left w:type="dxa" w:w="120"/>
              <w:bottom w:type="dxa" w:w="90"/>
              <w:right w:type="dxa" w:w="120"/>
            </w:tcMar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222222"/>
                <w:sz w:val="14"/>
                <w:szCs w:val="14"/>
              </w:rPr>
              <w:t xml:space="preserve">I — informed if disclosure becomes a recurring conversation</w:t>
            </w:r>
          </w:p>
        </w:tc>
        <w:tc>
          <w:tcPr>
            <w:tcW w:type="dxa" w:w="1476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90"/>
              <w:left w:type="dxa" w:w="120"/>
              <w:bottom w:type="dxa" w:w="90"/>
              <w:right w:type="dxa" w:w="120"/>
            </w:tcMar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222222"/>
                <w:sz w:val="14"/>
                <w:szCs w:val="14"/>
              </w:rPr>
              <w:t xml:space="preserve">C — when contract obligations are triggered</w:t>
            </w:r>
          </w:p>
        </w:tc>
      </w:tr>
      <w:tr>
        <w:tc>
          <w:tcPr>
            <w:tcW w:type="dxa" w:w="270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F7F7F5" w:val="clear"/>
            <w:tcMar>
              <w:top w:type="dxa" w:w="90"/>
              <w:left w:type="dxa" w:w="120"/>
              <w:bottom w:type="dxa" w:w="90"/>
              <w:right w:type="dxa" w:w="120"/>
            </w:tcMar>
          </w:tcPr>
          <w:p>
            <w:pPr>
              <w:jc w:val="left"/>
            </w:pPr>
            <w:r>
              <w:rPr>
                <w:rFonts w:ascii="Arial" w:cs="Arial" w:eastAsia="Arial" w:hAnsi="Arial"/>
                <w:b/>
                <w:bCs/>
                <w:color w:val="222222"/>
                <w:sz w:val="16"/>
                <w:szCs w:val="16"/>
              </w:rPr>
              <w:t xml:space="preserve">Select a new AI tool and add it to the approved list</w:t>
            </w:r>
          </w:p>
        </w:tc>
        <w:tc>
          <w:tcPr>
            <w:tcW w:type="dxa" w:w="1476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F7F7F5" w:val="clear"/>
            <w:tcMar>
              <w:top w:type="dxa" w:w="90"/>
              <w:left w:type="dxa" w:w="120"/>
              <w:bottom w:type="dxa" w:w="90"/>
              <w:right w:type="dxa" w:w="120"/>
            </w:tcMar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222222"/>
                <w:sz w:val="14"/>
                <w:szCs w:val="14"/>
              </w:rPr>
              <w:t xml:space="preserve">C — propose tools; report experience</w:t>
            </w:r>
          </w:p>
        </w:tc>
        <w:tc>
          <w:tcPr>
            <w:tcW w:type="dxa" w:w="1476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F7F7F5" w:val="clear"/>
            <w:tcMar>
              <w:top w:type="dxa" w:w="90"/>
              <w:left w:type="dxa" w:w="120"/>
              <w:bottom w:type="dxa" w:w="90"/>
              <w:right w:type="dxa" w:w="120"/>
            </w:tcMar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222222"/>
                <w:sz w:val="14"/>
                <w:szCs w:val="14"/>
              </w:rPr>
              <w:t xml:space="preserve">C — provide project-side needs</w:t>
            </w:r>
          </w:p>
        </w:tc>
        <w:tc>
          <w:tcPr>
            <w:tcW w:type="dxa" w:w="1476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F7F7F5" w:val="clear"/>
            <w:tcMar>
              <w:top w:type="dxa" w:w="90"/>
              <w:left w:type="dxa" w:w="120"/>
              <w:bottom w:type="dxa" w:w="90"/>
              <w:right w:type="dxa" w:w="120"/>
            </w:tcMar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222222"/>
                <w:sz w:val="14"/>
                <w:szCs w:val="14"/>
              </w:rPr>
              <w:t xml:space="preserve">C — flag practice/ethics implications</w:t>
            </w:r>
          </w:p>
        </w:tc>
        <w:tc>
          <w:tcPr>
            <w:tcW w:type="dxa" w:w="1476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F7F7F5" w:val="clear"/>
            <w:tcMar>
              <w:top w:type="dxa" w:w="90"/>
              <w:left w:type="dxa" w:w="120"/>
              <w:bottom w:type="dxa" w:w="90"/>
              <w:right w:type="dxa" w:w="120"/>
            </w:tcMar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222222"/>
                <w:sz w:val="14"/>
                <w:szCs w:val="14"/>
              </w:rPr>
              <w:t xml:space="preserve">R / A — evaluates vendor, data handling, fit; approves or rejects</w:t>
            </w:r>
          </w:p>
        </w:tc>
        <w:tc>
          <w:tcPr>
            <w:tcW w:type="dxa" w:w="1476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F7F7F5" w:val="clear"/>
            <w:tcMar>
              <w:top w:type="dxa" w:w="90"/>
              <w:left w:type="dxa" w:w="120"/>
              <w:bottom w:type="dxa" w:w="90"/>
              <w:right w:type="dxa" w:w="120"/>
            </w:tcMar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222222"/>
                <w:sz w:val="14"/>
                <w:szCs w:val="14"/>
              </w:rPr>
              <w:t xml:space="preserve">C — for contracts, IP, or coverage</w:t>
            </w:r>
          </w:p>
        </w:tc>
      </w:tr>
      <w:tr>
        <w:tc>
          <w:tcPr>
            <w:tcW w:type="dxa" w:w="270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90"/>
              <w:left w:type="dxa" w:w="120"/>
              <w:bottom w:type="dxa" w:w="90"/>
              <w:right w:type="dxa" w:w="120"/>
            </w:tcMar>
          </w:tcPr>
          <w:p>
            <w:pPr>
              <w:jc w:val="left"/>
            </w:pPr>
            <w:r>
              <w:rPr>
                <w:rFonts w:ascii="Arial" w:cs="Arial" w:eastAsia="Arial" w:hAnsi="Arial"/>
                <w:b/>
                <w:bCs/>
                <w:color w:val="222222"/>
                <w:sz w:val="16"/>
                <w:szCs w:val="16"/>
              </w:rPr>
              <w:t xml:space="preserve">Update the AI policy and train staff</w:t>
            </w:r>
          </w:p>
        </w:tc>
        <w:tc>
          <w:tcPr>
            <w:tcW w:type="dxa" w:w="1476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90"/>
              <w:left w:type="dxa" w:w="120"/>
              <w:bottom w:type="dxa" w:w="90"/>
              <w:right w:type="dxa" w:w="120"/>
            </w:tcMar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222222"/>
                <w:sz w:val="14"/>
                <w:szCs w:val="14"/>
              </w:rPr>
              <w:t xml:space="preserve">I — participates; gives feedback</w:t>
            </w:r>
          </w:p>
        </w:tc>
        <w:tc>
          <w:tcPr>
            <w:tcW w:type="dxa" w:w="1476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90"/>
              <w:left w:type="dxa" w:w="120"/>
              <w:bottom w:type="dxa" w:w="90"/>
              <w:right w:type="dxa" w:w="120"/>
            </w:tcMar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222222"/>
                <w:sz w:val="14"/>
                <w:szCs w:val="14"/>
              </w:rPr>
              <w:t xml:space="preserve">C — identifies gaps and incidents</w:t>
            </w:r>
          </w:p>
        </w:tc>
        <w:tc>
          <w:tcPr>
            <w:tcW w:type="dxa" w:w="1476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90"/>
              <w:left w:type="dxa" w:w="120"/>
              <w:bottom w:type="dxa" w:w="90"/>
              <w:right w:type="dxa" w:w="120"/>
            </w:tcMar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222222"/>
                <w:sz w:val="14"/>
                <w:szCs w:val="14"/>
              </w:rPr>
              <w:t xml:space="preserve">C — ensures alignment with professional obligations and insurer expectations</w:t>
            </w:r>
          </w:p>
        </w:tc>
        <w:tc>
          <w:tcPr>
            <w:tcW w:type="dxa" w:w="1476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90"/>
              <w:left w:type="dxa" w:w="120"/>
              <w:bottom w:type="dxa" w:w="90"/>
              <w:right w:type="dxa" w:w="120"/>
            </w:tcMar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222222"/>
                <w:sz w:val="14"/>
                <w:szCs w:val="14"/>
              </w:rPr>
              <w:t xml:space="preserve">R / A — drafts and owns policy; schedules training</w:t>
            </w:r>
          </w:p>
        </w:tc>
        <w:tc>
          <w:tcPr>
            <w:tcW w:type="dxa" w:w="1476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90"/>
              <w:left w:type="dxa" w:w="120"/>
              <w:bottom w:type="dxa" w:w="90"/>
              <w:right w:type="dxa" w:w="120"/>
            </w:tcMar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222222"/>
                <w:sz w:val="14"/>
                <w:szCs w:val="14"/>
              </w:rPr>
              <w:t xml:space="preserve">C — reviews for legal/coverage issues</w:t>
            </w:r>
          </w:p>
        </w:tc>
      </w:tr>
    </w:tbl>
    <w:p>
      <w:pPr>
        <w:pStyle w:val="Heading2"/>
      </w:pPr>
      <w:r>
        <w:rPr>
          <w:rFonts w:ascii="Arial" w:cs="Arial" w:eastAsia="Arial" w:hAnsi="Arial"/>
          <w:b/>
          <w:bCs/>
          <w:color w:val="C41230"/>
          <w:sz w:val="26"/>
          <w:szCs w:val="26"/>
        </w:rPr>
        <w:t xml:space="preserve">5. Data, Tools, and Vendors</w:t>
      </w:r>
    </w:p>
    <w:p>
      <w:pPr>
        <w:spacing w:after="120" w:before="0"/>
      </w:pPr>
      <w:r>
        <w:rPr>
          <w:rFonts w:ascii="Arial" w:cs="Arial" w:eastAsia="Arial" w:hAnsi="Arial"/>
          <w:b w:val="false"/>
          <w:bCs w:val="false"/>
          <w:i w:val="false"/>
          <w:iCs w:val="false"/>
          <w:sz w:val="22"/>
          <w:szCs w:val="22"/>
        </w:rPr>
        <w:t xml:space="preserve">The firm maintains a list of approved AI tools and the uses each is approved for. Staff may not use unapproved tools with project data.</w:t>
      </w:r>
    </w:p>
    <w:p>
      <w:pPr>
        <w:pStyle w:val="Heading3"/>
      </w:pPr>
      <w:r>
        <w:rPr>
          <w:rFonts w:ascii="Arial" w:cs="Arial" w:eastAsia="Arial" w:hAnsi="Arial"/>
          <w:b/>
          <w:bCs/>
          <w:color w:val="222222"/>
          <w:sz w:val="22"/>
          <w:szCs w:val="22"/>
        </w:rPr>
        <w:t xml:space="preserve">Vendor review checklist</w:t>
      </w:r>
    </w:p>
    <w:p>
      <w:pPr>
        <w:spacing w:after="120" w:before="0"/>
      </w:pPr>
      <w:r>
        <w:rPr>
          <w:rFonts w:ascii="Arial" w:cs="Arial" w:eastAsia="Arial" w:hAnsi="Arial"/>
          <w:b w:val="false"/>
          <w:bCs w:val="false"/>
          <w:i w:val="false"/>
          <w:iCs w:val="false"/>
          <w:sz w:val="22"/>
          <w:szCs w:val="22"/>
        </w:rPr>
        <w:t xml:space="preserve">Before adopting a new AI tool, review:</w:t>
      </w:r>
    </w:p>
    <w:p>
      <w:pPr>
        <w:pStyle w:val="ListParagraph"/>
        <w:numPr>
          <w:ilvl w:val="0"/>
          <w:numId w:val="2"/>
        </w:numPr>
        <w:spacing w:after="80" w:before="0"/>
      </w:pPr>
      <w:r>
        <w:rPr>
          <w:rFonts w:ascii="Arial" w:cs="Arial" w:eastAsia="Arial" w:hAnsi="Arial"/>
          <w:sz w:val="22"/>
          <w:szCs w:val="22"/>
        </w:rPr>
        <w:t xml:space="preserve">How the tool handles, stores, and routes data — and where data resides geographically.</w:t>
      </w:r>
    </w:p>
    <w:p>
      <w:pPr>
        <w:pStyle w:val="ListParagraph"/>
        <w:numPr>
          <w:ilvl w:val="0"/>
          <w:numId w:val="2"/>
        </w:numPr>
        <w:spacing w:after="80" w:before="0"/>
      </w:pPr>
      <w:r>
        <w:rPr>
          <w:rFonts w:ascii="Arial" w:cs="Arial" w:eastAsia="Arial" w:hAnsi="Arial"/>
          <w:sz w:val="22"/>
          <w:szCs w:val="22"/>
        </w:rPr>
        <w:t xml:space="preserve">Whether firm or client data may be used to train models for other customers, and whether opt-out is available.</w:t>
      </w:r>
    </w:p>
    <w:p>
      <w:pPr>
        <w:pStyle w:val="ListParagraph"/>
        <w:numPr>
          <w:ilvl w:val="0"/>
          <w:numId w:val="2"/>
        </w:numPr>
        <w:spacing w:after="80" w:before="0"/>
      </w:pPr>
      <w:r>
        <w:rPr>
          <w:rFonts w:ascii="Arial" w:cs="Arial" w:eastAsia="Arial" w:hAnsi="Arial"/>
          <w:sz w:val="22"/>
          <w:szCs w:val="22"/>
        </w:rPr>
        <w:t xml:space="preserve">Contract terms, IP ownership, and indemnities.</w:t>
      </w:r>
    </w:p>
    <w:p>
      <w:pPr>
        <w:pStyle w:val="ListParagraph"/>
        <w:numPr>
          <w:ilvl w:val="0"/>
          <w:numId w:val="2"/>
        </w:numPr>
        <w:spacing w:after="80" w:before="0"/>
      </w:pPr>
      <w:r>
        <w:rPr>
          <w:rFonts w:ascii="Arial" w:cs="Arial" w:eastAsia="Arial" w:hAnsi="Arial"/>
          <w:sz w:val="22"/>
          <w:szCs w:val="22"/>
        </w:rPr>
        <w:t xml:space="preserve">Security practices, audit logs, and access controls.</w:t>
      </w:r>
    </w:p>
    <w:p>
      <w:pPr>
        <w:pStyle w:val="ListParagraph"/>
        <w:numPr>
          <w:ilvl w:val="0"/>
          <w:numId w:val="2"/>
        </w:numPr>
        <w:spacing w:after="80" w:before="0"/>
      </w:pPr>
      <w:r>
        <w:rPr>
          <w:rFonts w:ascii="Arial" w:cs="Arial" w:eastAsia="Arial" w:hAnsi="Arial"/>
          <w:sz w:val="22"/>
          <w:szCs w:val="22"/>
        </w:rPr>
        <w:t xml:space="preserve">Vendor's environmental disclosure (energy and water) where available.</w:t>
      </w:r>
    </w:p>
    <w:p>
      <w:pPr>
        <w:pStyle w:val="ListParagraph"/>
        <w:numPr>
          <w:ilvl w:val="0"/>
          <w:numId w:val="2"/>
        </w:numPr>
        <w:spacing w:after="80" w:before="0"/>
      </w:pPr>
      <w:r>
        <w:rPr>
          <w:rFonts w:ascii="Arial" w:cs="Arial" w:eastAsia="Arial" w:hAnsi="Arial"/>
          <w:sz w:val="22"/>
          <w:szCs w:val="22"/>
        </w:rPr>
        <w:t xml:space="preserve">Compatibility with the firm's professional liability coverage.</w:t>
      </w:r>
    </w:p>
    <w:p>
      <w:pPr>
        <w:pStyle w:val="ListParagraph"/>
        <w:numPr>
          <w:ilvl w:val="0"/>
          <w:numId w:val="2"/>
        </w:numPr>
        <w:spacing w:after="80" w:before="0"/>
      </w:pPr>
      <w:r>
        <w:rPr>
          <w:rFonts w:ascii="Arial" w:cs="Arial" w:eastAsia="Arial" w:hAnsi="Arial"/>
          <w:sz w:val="22"/>
          <w:szCs w:val="22"/>
        </w:rPr>
        <w:t xml:space="preserve">Support model and behavior under tool failure mid-project.</w:t>
      </w:r>
    </w:p>
    <w:p>
      <w:pPr>
        <w:pStyle w:val="Heading3"/>
      </w:pPr>
      <w:r>
        <w:rPr>
          <w:rFonts w:ascii="Arial" w:cs="Arial" w:eastAsia="Arial" w:hAnsi="Arial"/>
          <w:b/>
          <w:bCs/>
          <w:color w:val="222222"/>
          <w:sz w:val="22"/>
          <w:szCs w:val="22"/>
        </w:rPr>
        <w:t xml:space="preserve">Data quality and AI readiness</w:t>
      </w:r>
    </w:p>
    <w:p>
      <w:pPr>
        <w:spacing w:after="200" w:before="0"/>
      </w:pPr>
      <w:r>
        <w:rPr>
          <w:rFonts w:ascii="Arial" w:cs="Arial" w:eastAsia="Arial" w:hAnsi="Arial"/>
          <w:b w:val="false"/>
          <w:bCs w:val="false"/>
          <w:i w:val="false"/>
          <w:iCs w:val="false"/>
          <w:sz w:val="22"/>
          <w:szCs w:val="22"/>
        </w:rPr>
        <w:t xml:space="preserve">AI output reflects the quality of the firm's underlying data. Reduce redundant, obsolete, and trivial content over time so AI tools have cleaner material to work with. Establish authoritative sources — one location per content type — for the firm's standards, details, specifications, and project records.</w:t>
      </w:r>
    </w:p>
    <w:p>
      <w:pPr>
        <w:pStyle w:val="Heading2"/>
      </w:pPr>
      <w:r>
        <w:rPr>
          <w:rFonts w:ascii="Arial" w:cs="Arial" w:eastAsia="Arial" w:hAnsi="Arial"/>
          <w:b/>
          <w:bCs/>
          <w:color w:val="C41230"/>
          <w:sz w:val="26"/>
          <w:szCs w:val="26"/>
        </w:rPr>
        <w:t xml:space="preserve">6. Client Disclosure</w:t>
      </w:r>
    </w:p>
    <w:p>
      <w:pPr>
        <w:spacing w:after="100" w:before="0"/>
      </w:pPr>
      <w:r>
        <w:rPr>
          <w:rFonts w:ascii="Arial" w:cs="Arial" w:eastAsia="Arial" w:hAnsi="Arial"/>
          <w:b/>
          <w:bCs/>
          <w:i w:val="false"/>
          <w:iCs w:val="false"/>
          <w:sz w:val="22"/>
          <w:szCs w:val="22"/>
        </w:rPr>
        <w:t xml:space="preserve">Read the contract first. </w:t>
      </w:r>
      <w:r>
        <w:rPr>
          <w:rFonts w:ascii="Arial" w:cs="Arial" w:eastAsia="Arial" w:hAnsi="Arial"/>
          <w:b w:val="false"/>
          <w:bCs w:val="false"/>
          <w:i w:val="false"/>
          <w:iCs w:val="false"/>
          <w:sz w:val="22"/>
          <w:szCs w:val="22"/>
        </w:rPr>
        <w:t xml:space="preserve">Owner-supplied contracts increasingly include AI provisions: prohibitions on training third-party models with project data, required disclosures, restrictions on AI-generated deliverables, ownership terms, and indemnities. Identify these before signing. They override any internal firm policy.</w:t>
      </w:r>
    </w:p>
    <w:p>
      <w:pPr>
        <w:spacing w:after="100" w:before="0"/>
      </w:pPr>
      <w:r>
        <w:rPr>
          <w:rFonts w:ascii="Arial" w:cs="Arial" w:eastAsia="Arial" w:hAnsi="Arial"/>
          <w:b/>
          <w:bCs/>
          <w:i w:val="false"/>
          <w:iCs w:val="false"/>
          <w:sz w:val="22"/>
          <w:szCs w:val="22"/>
        </w:rPr>
        <w:t xml:space="preserve">Disclose substantive involvement. </w:t>
      </w:r>
      <w:r>
        <w:rPr>
          <w:rFonts w:ascii="Arial" w:cs="Arial" w:eastAsia="Arial" w:hAnsi="Arial"/>
          <w:b w:val="false"/>
          <w:bCs w:val="false"/>
          <w:i w:val="false"/>
          <w:iCs w:val="false"/>
          <w:sz w:val="22"/>
          <w:szCs w:val="22"/>
        </w:rPr>
        <w:t xml:space="preserve">Disclose when AI played a substantive role in a deliverable the client will rely on — AI-generated renderings, AI-assisted code or zoning analysis informing a design decision, AI-generated text in a report or specification. A clear note in a transmittal or in the deliverable itself is often sufficient.</w:t>
      </w:r>
    </w:p>
    <w:p>
      <w:pPr>
        <w:spacing w:after="100" w:before="0"/>
      </w:pPr>
      <w:r>
        <w:rPr>
          <w:rFonts w:ascii="Arial" w:cs="Arial" w:eastAsia="Arial" w:hAnsi="Arial"/>
          <w:b/>
          <w:bCs/>
          <w:i w:val="false"/>
          <w:iCs w:val="false"/>
          <w:sz w:val="22"/>
          <w:szCs w:val="22"/>
        </w:rPr>
        <w:t xml:space="preserve">Be candid if asked. </w:t>
      </w:r>
      <w:r>
        <w:rPr>
          <w:rFonts w:ascii="Arial" w:cs="Arial" w:eastAsia="Arial" w:hAnsi="Arial"/>
          <w:b w:val="false"/>
          <w:bCs w:val="false"/>
          <w:i w:val="false"/>
          <w:iCs w:val="false"/>
          <w:sz w:val="22"/>
          <w:szCs w:val="22"/>
        </w:rPr>
        <w:t xml:space="preserve">If a client asks how AI is being used on their project, answer plainly. Concealing routine, low-risk AI use creates more risk than disclosing it.</w:t>
      </w:r>
    </w:p>
    <w:p>
      <w:pPr>
        <w:spacing w:after="200" w:before="0"/>
      </w:pPr>
      <w:r>
        <w:rPr>
          <w:rFonts w:ascii="Arial" w:cs="Arial" w:eastAsia="Arial" w:hAnsi="Arial"/>
          <w:b/>
          <w:bCs/>
          <w:i w:val="false"/>
          <w:iCs w:val="false"/>
          <w:sz w:val="22"/>
          <w:szCs w:val="22"/>
        </w:rPr>
        <w:t xml:space="preserve">Do not bill one client for R&amp;D that benefits all clients. </w:t>
      </w:r>
      <w:r>
        <w:rPr>
          <w:rFonts w:ascii="Arial" w:cs="Arial" w:eastAsia="Arial" w:hAnsi="Arial"/>
          <w:b w:val="false"/>
          <w:bCs w:val="false"/>
          <w:i w:val="false"/>
          <w:iCs w:val="false"/>
          <w:sz w:val="22"/>
          <w:szCs w:val="22"/>
        </w:rPr>
        <w:t xml:space="preserve">When a client funds experimentation that improves the firm's capabilities for future work, the project should benefit.</w:t>
      </w:r>
    </w:p>
    <w:p>
      <w:pPr>
        <w:pStyle w:val="Heading2"/>
      </w:pPr>
      <w:r>
        <w:rPr>
          <w:rFonts w:ascii="Arial" w:cs="Arial" w:eastAsia="Arial" w:hAnsi="Arial"/>
          <w:b/>
          <w:bCs/>
          <w:color w:val="C41230"/>
          <w:sz w:val="26"/>
          <w:szCs w:val="26"/>
        </w:rPr>
        <w:t xml:space="preserve">7. Subconsultant Coordination</w:t>
      </w:r>
    </w:p>
    <w:p>
      <w:pPr>
        <w:spacing w:after="120" w:before="0"/>
      </w:pPr>
      <w:r>
        <w:rPr>
          <w:rFonts w:ascii="Arial" w:cs="Arial" w:eastAsia="Arial" w:hAnsi="Arial"/>
          <w:b w:val="false"/>
          <w:bCs w:val="false"/>
          <w:i w:val="false"/>
          <w:iCs w:val="false"/>
          <w:sz w:val="22"/>
          <w:szCs w:val="22"/>
        </w:rPr>
        <w:t xml:space="preserve">Where the firm has agreed to AI restrictions in a prime contract — "no AI use," "disclosure of AI use," "no training on project data" — those restrictions are flowed down in writing to subconsultants. Subconsultant agreements should:</w:t>
      </w:r>
    </w:p>
    <w:p>
      <w:pPr>
        <w:pStyle w:val="ListParagraph"/>
        <w:numPr>
          <w:ilvl w:val="0"/>
          <w:numId w:val="2"/>
        </w:numPr>
        <w:spacing w:after="80" w:before="0"/>
      </w:pPr>
      <w:r>
        <w:rPr>
          <w:rFonts w:ascii="Arial" w:cs="Arial" w:eastAsia="Arial" w:hAnsi="Arial"/>
          <w:sz w:val="22"/>
          <w:szCs w:val="22"/>
        </w:rPr>
        <w:t xml:space="preserve">Require disclosure of significant AI use on the project.</w:t>
      </w:r>
    </w:p>
    <w:p>
      <w:pPr>
        <w:pStyle w:val="ListParagraph"/>
        <w:numPr>
          <w:ilvl w:val="0"/>
          <w:numId w:val="2"/>
        </w:numPr>
        <w:spacing w:after="80" w:before="0"/>
      </w:pPr>
      <w:r>
        <w:rPr>
          <w:rFonts w:ascii="Arial" w:cs="Arial" w:eastAsia="Arial" w:hAnsi="Arial"/>
          <w:sz w:val="22"/>
          <w:szCs w:val="22"/>
        </w:rPr>
        <w:t xml:space="preserve">Establish expectations for verification proportional to the work's risk.</w:t>
      </w:r>
    </w:p>
    <w:p>
      <w:pPr>
        <w:pStyle w:val="ListParagraph"/>
        <w:numPr>
          <w:ilvl w:val="0"/>
          <w:numId w:val="2"/>
        </w:numPr>
        <w:spacing w:after="80" w:before="0"/>
      </w:pPr>
      <w:r>
        <w:rPr>
          <w:rFonts w:ascii="Arial" w:cs="Arial" w:eastAsia="Arial" w:hAnsi="Arial"/>
          <w:sz w:val="22"/>
          <w:szCs w:val="22"/>
        </w:rPr>
        <w:t xml:space="preserve">Coordinate professional liability coverage.</w:t>
      </w:r>
    </w:p>
    <w:p>
      <w:pPr>
        <w:pStyle w:val="ListParagraph"/>
        <w:numPr>
          <w:ilvl w:val="0"/>
          <w:numId w:val="2"/>
        </w:numPr>
        <w:spacing w:after="80" w:before="0"/>
      </w:pPr>
      <w:r>
        <w:rPr>
          <w:rFonts w:ascii="Arial" w:cs="Arial" w:eastAsia="Arial" w:hAnsi="Arial"/>
          <w:sz w:val="22"/>
          <w:szCs w:val="22"/>
        </w:rPr>
        <w:t xml:space="preserve">Maintain a clear accountability chain across the team.</w:t>
      </w:r>
    </w:p>
    <w:p>
      <w:pPr>
        <w:spacing w:after="200" w:before="0"/>
      </w:pPr>
      <w:r>
        <w:rPr>
          <w:rFonts w:ascii="Arial" w:cs="Arial" w:eastAsia="Arial" w:hAnsi="Arial"/>
          <w:b w:val="false"/>
          <w:bCs w:val="false"/>
          <w:i w:val="false"/>
          <w:iCs w:val="false"/>
          <w:sz w:val="22"/>
          <w:szCs w:val="22"/>
        </w:rPr>
        <w:t xml:space="preserve">Verify compliance — do not assume it.</w:t>
      </w:r>
    </w:p>
    <w:p>
      <w:pPr>
        <w:pStyle w:val="Heading2"/>
      </w:pPr>
      <w:r>
        <w:rPr>
          <w:rFonts w:ascii="Arial" w:cs="Arial" w:eastAsia="Arial" w:hAnsi="Arial"/>
          <w:b/>
          <w:bCs/>
          <w:color w:val="C41230"/>
          <w:sz w:val="26"/>
          <w:szCs w:val="26"/>
        </w:rPr>
        <w:t xml:space="preserve">8. Ethics, Misuse, and Prohibited Uses</w:t>
      </w:r>
    </w:p>
    <w:p>
      <w:pPr>
        <w:pStyle w:val="ListParagraph"/>
        <w:numPr>
          <w:ilvl w:val="0"/>
          <w:numId w:val="2"/>
        </w:numPr>
        <w:spacing w:after="80" w:before="0"/>
      </w:pPr>
      <w:r>
        <w:rPr>
          <w:rFonts w:ascii="Arial" w:cs="Arial" w:eastAsia="Arial" w:hAnsi="Arial"/>
          <w:sz w:val="22"/>
          <w:szCs w:val="22"/>
        </w:rPr>
        <w:t xml:space="preserve">Staff may not use AI to misrepresent authorship of work, fabricate project history, or create misleading images, narratives, or precedent claims.</w:t>
      </w:r>
    </w:p>
    <w:p>
      <w:pPr>
        <w:pStyle w:val="ListParagraph"/>
        <w:numPr>
          <w:ilvl w:val="0"/>
          <w:numId w:val="2"/>
        </w:numPr>
        <w:spacing w:after="80" w:before="0"/>
      </w:pPr>
      <w:r>
        <w:rPr>
          <w:rFonts w:ascii="Arial" w:cs="Arial" w:eastAsia="Arial" w:hAnsi="Arial"/>
          <w:sz w:val="22"/>
          <w:szCs w:val="22"/>
        </w:rPr>
        <w:t xml:space="preserve">AI must not be used to replicate the recognizable design work or visual style of other architects.</w:t>
      </w:r>
    </w:p>
    <w:p>
      <w:pPr>
        <w:pStyle w:val="ListParagraph"/>
        <w:numPr>
          <w:ilvl w:val="0"/>
          <w:numId w:val="2"/>
        </w:numPr>
        <w:spacing w:after="80" w:before="0"/>
      </w:pPr>
      <w:r>
        <w:rPr>
          <w:rFonts w:ascii="Arial" w:cs="Arial" w:eastAsia="Arial" w:hAnsi="Arial"/>
          <w:sz w:val="22"/>
          <w:szCs w:val="22"/>
        </w:rPr>
        <w:t xml:space="preserve">AI must not be used to bypass tasks that build professional judgment for early-career staff. Junior staff should still do massing studies, code research, and initial detailing by hand to develop the judgment that distinguishes architects.</w:t>
      </w:r>
    </w:p>
    <w:p>
      <w:pPr>
        <w:pStyle w:val="ListParagraph"/>
        <w:numPr>
          <w:ilvl w:val="0"/>
          <w:numId w:val="2"/>
        </w:numPr>
        <w:spacing w:after="80" w:before="0"/>
      </w:pPr>
      <w:r>
        <w:rPr>
          <w:rFonts w:ascii="Arial" w:cs="Arial" w:eastAsia="Arial" w:hAnsi="Arial"/>
          <w:sz w:val="22"/>
          <w:szCs w:val="22"/>
        </w:rPr>
        <w:t xml:space="preserve">AI must not be used to make or automate employment, promotion, or compensation decisions without explicit leadership approval and legal review.</w:t>
      </w:r>
    </w:p>
    <w:p>
      <w:pPr>
        <w:pStyle w:val="ListParagraph"/>
        <w:numPr>
          <w:ilvl w:val="0"/>
          <w:numId w:val="2"/>
        </w:numPr>
        <w:spacing w:after="80" w:before="0"/>
      </w:pPr>
      <w:r>
        <w:rPr>
          <w:rFonts w:ascii="Arial" w:cs="Arial" w:eastAsia="Arial" w:hAnsi="Arial"/>
          <w:sz w:val="22"/>
          <w:szCs w:val="22"/>
        </w:rPr>
        <w:t xml:space="preserve">Any use that appears to conflict with the firm's professional obligations or the AIA Code of Ethics is escalated to firm leadership.</w:t>
      </w:r>
    </w:p>
    <w:p>
      <w:pPr>
        <w:pStyle w:val="Heading2"/>
      </w:pPr>
      <w:r>
        <w:rPr>
          <w:rFonts w:ascii="Arial" w:cs="Arial" w:eastAsia="Arial" w:hAnsi="Arial"/>
          <w:b/>
          <w:bCs/>
          <w:color w:val="C41230"/>
          <w:sz w:val="26"/>
          <w:szCs w:val="26"/>
        </w:rPr>
        <w:t xml:space="preserve">9. Review, Incidents, and Continuous Improvement</w:t>
      </w:r>
    </w:p>
    <w:p>
      <w:pPr>
        <w:pStyle w:val="Heading3"/>
      </w:pPr>
      <w:r>
        <w:rPr>
          <w:rFonts w:ascii="Arial" w:cs="Arial" w:eastAsia="Arial" w:hAnsi="Arial"/>
          <w:b/>
          <w:bCs/>
          <w:color w:val="222222"/>
          <w:sz w:val="22"/>
          <w:szCs w:val="22"/>
        </w:rPr>
        <w:t xml:space="preserve">Regular review</w:t>
      </w:r>
    </w:p>
    <w:p>
      <w:pPr>
        <w:spacing w:after="120" w:before="0"/>
      </w:pPr>
      <w:r>
        <w:rPr>
          <w:rFonts w:ascii="Arial" w:cs="Arial" w:eastAsia="Arial" w:hAnsi="Arial"/>
          <w:b w:val="false"/>
          <w:bCs w:val="false"/>
          <w:i w:val="false"/>
          <w:iCs w:val="false"/>
          <w:sz w:val="22"/>
          <w:szCs w:val="22"/>
        </w:rPr>
        <w:t xml:space="preserve">This policy is reviewed at least annually, or sooner when:</w:t>
      </w:r>
    </w:p>
    <w:p>
      <w:pPr>
        <w:pStyle w:val="ListParagraph"/>
        <w:numPr>
          <w:ilvl w:val="0"/>
          <w:numId w:val="2"/>
        </w:numPr>
        <w:spacing w:after="80" w:before="0"/>
      </w:pPr>
      <w:r>
        <w:rPr>
          <w:rFonts w:ascii="Arial" w:cs="Arial" w:eastAsia="Arial" w:hAnsi="Arial"/>
          <w:sz w:val="22"/>
          <w:szCs w:val="22"/>
        </w:rPr>
        <w:t xml:space="preserve">The firm adopts a significant new AI tool.</w:t>
      </w:r>
    </w:p>
    <w:p>
      <w:pPr>
        <w:pStyle w:val="ListParagraph"/>
        <w:numPr>
          <w:ilvl w:val="0"/>
          <w:numId w:val="2"/>
        </w:numPr>
        <w:spacing w:after="80" w:before="0"/>
      </w:pPr>
      <w:r>
        <w:rPr>
          <w:rFonts w:ascii="Arial" w:cs="Arial" w:eastAsia="Arial" w:hAnsi="Arial"/>
          <w:sz w:val="22"/>
          <w:szCs w:val="22"/>
        </w:rPr>
        <w:t xml:space="preserve">There is a relevant change in law, regulation, or insurer guidance.</w:t>
      </w:r>
    </w:p>
    <w:p>
      <w:pPr>
        <w:pStyle w:val="ListParagraph"/>
        <w:numPr>
          <w:ilvl w:val="0"/>
          <w:numId w:val="2"/>
        </w:numPr>
        <w:spacing w:after="80" w:before="0"/>
      </w:pPr>
      <w:r>
        <w:rPr>
          <w:rFonts w:ascii="Arial" w:cs="Arial" w:eastAsia="Arial" w:hAnsi="Arial"/>
          <w:sz w:val="22"/>
          <w:szCs w:val="22"/>
        </w:rPr>
        <w:t xml:space="preserve">There is a significant incident or near-miss involving AI use.</w:t>
      </w:r>
    </w:p>
    <w:p>
      <w:pPr>
        <w:pStyle w:val="ListParagraph"/>
        <w:numPr>
          <w:ilvl w:val="0"/>
          <w:numId w:val="2"/>
        </w:numPr>
        <w:spacing w:after="80" w:before="0"/>
      </w:pPr>
      <w:r>
        <w:rPr>
          <w:rFonts w:ascii="Arial" w:cs="Arial" w:eastAsia="Arial" w:hAnsi="Arial"/>
          <w:sz w:val="22"/>
          <w:szCs w:val="22"/>
        </w:rPr>
        <w:t xml:space="preserve">A professional or insurer body issues new guidance the firm should reflect.</w:t>
      </w:r>
    </w:p>
    <w:p>
      <w:pPr>
        <w:pStyle w:val="Heading3"/>
      </w:pPr>
      <w:r>
        <w:rPr>
          <w:rFonts w:ascii="Arial" w:cs="Arial" w:eastAsia="Arial" w:hAnsi="Arial"/>
          <w:b/>
          <w:bCs/>
          <w:color w:val="222222"/>
          <w:sz w:val="22"/>
          <w:szCs w:val="22"/>
        </w:rPr>
        <w:t xml:space="preserve">Incident response</w:t>
      </w:r>
    </w:p>
    <w:p>
      <w:pPr>
        <w:spacing w:after="120" w:before="0"/>
      </w:pPr>
      <w:r>
        <w:rPr>
          <w:rFonts w:ascii="Arial" w:cs="Arial" w:eastAsia="Arial" w:hAnsi="Arial"/>
          <w:b w:val="false"/>
          <w:bCs w:val="false"/>
          <w:i w:val="false"/>
          <w:iCs w:val="false"/>
          <w:sz w:val="22"/>
          <w:szCs w:val="22"/>
        </w:rPr>
        <w:t xml:space="preserve">If AI use appears to contribute to an error, near-miss, or client complaint:</w:t>
      </w:r>
    </w:p>
    <w:p>
      <w:pPr>
        <w:pStyle w:val="ListParagraph"/>
        <w:numPr>
          <w:ilvl w:val="0"/>
          <w:numId w:val="2"/>
        </w:numPr>
        <w:spacing w:after="80" w:before="0"/>
      </w:pPr>
      <w:r>
        <w:rPr>
          <w:rFonts w:ascii="Arial" w:cs="Arial" w:eastAsia="Arial" w:hAnsi="Arial"/>
          <w:sz w:val="22"/>
          <w:szCs w:val="22"/>
        </w:rPr>
        <w:t xml:space="preserve">Notify the Project Manager and firm leadership immediately.</w:t>
      </w:r>
    </w:p>
    <w:p>
      <w:pPr>
        <w:pStyle w:val="ListParagraph"/>
        <w:numPr>
          <w:ilvl w:val="0"/>
          <w:numId w:val="2"/>
        </w:numPr>
        <w:spacing w:after="80" w:before="0"/>
      </w:pPr>
      <w:r>
        <w:rPr>
          <w:rFonts w:ascii="Arial" w:cs="Arial" w:eastAsia="Arial" w:hAnsi="Arial"/>
          <w:sz w:val="22"/>
          <w:szCs w:val="22"/>
        </w:rPr>
        <w:t xml:space="preserve">Preserve prompts, outputs, and related files; do not delete or overwrite.</w:t>
      </w:r>
    </w:p>
    <w:p>
      <w:pPr>
        <w:pStyle w:val="ListParagraph"/>
        <w:numPr>
          <w:ilvl w:val="0"/>
          <w:numId w:val="2"/>
        </w:numPr>
        <w:spacing w:after="80" w:before="0"/>
      </w:pPr>
      <w:r>
        <w:rPr>
          <w:rFonts w:ascii="Arial" w:cs="Arial" w:eastAsia="Arial" w:hAnsi="Arial"/>
          <w:sz w:val="22"/>
          <w:szCs w:val="22"/>
        </w:rPr>
        <w:t xml:space="preserve">Review what happened, adjust workflows or policy as needed, and share lessons with all staff.</w:t>
      </w:r>
    </w:p>
    <w:p>
      <w:pPr>
        <w:pStyle w:val="ListParagraph"/>
        <w:numPr>
          <w:ilvl w:val="0"/>
          <w:numId w:val="2"/>
        </w:numPr>
        <w:spacing w:after="80" w:before="0"/>
      </w:pPr>
      <w:r>
        <w:rPr>
          <w:rFonts w:ascii="Arial" w:cs="Arial" w:eastAsia="Arial" w:hAnsi="Arial"/>
          <w:sz w:val="22"/>
          <w:szCs w:val="22"/>
        </w:rPr>
        <w:t xml:space="preserve">Notify professional liability counsel/insurer where the incident may rise to that level.</w:t>
      </w:r>
    </w:p>
    <w:p>
      <w:r>
        <w:br w:type="page"/>
      </w:r>
    </w:p>
    <w:p>
      <w:pPr>
        <w:pStyle w:val="Heading1"/>
      </w:pPr>
      <w:r>
        <w:rPr>
          <w:rFonts w:ascii="Arial" w:cs="Arial" w:eastAsia="Arial" w:hAnsi="Arial"/>
          <w:b/>
          <w:bCs/>
          <w:color w:val="222222"/>
          <w:sz w:val="36"/>
          <w:szCs w:val="36"/>
        </w:rPr>
        <w:t xml:space="preserve">Appendix A: AI Use Log Template</w:t>
      </w:r>
    </w:p>
    <w:p>
      <w:pPr>
        <w:spacing w:after="160" w:before="0"/>
      </w:pPr>
      <w:r>
        <w:rPr>
          <w:rFonts w:ascii="Arial" w:cs="Arial" w:eastAsia="Arial" w:hAnsi="Arial"/>
          <w:b w:val="false"/>
          <w:bCs w:val="false"/>
          <w:i w:val="false"/>
          <w:iCs w:val="false"/>
          <w:sz w:val="22"/>
          <w:szCs w:val="22"/>
        </w:rPr>
        <w:t xml:space="preserve">Use this simple log to capture significant AI uses. "Significant" means any medium- or high-risk use under Section 3, or any use whose output reaches a client deliverable. The log can live in the project folder, a shared spreadsheet, or whatever record system the firm already uses.</w:t>
      </w:r>
    </w:p>
    <w:tbl>
      <w:tblPr>
        <w:tblW w:type="dxa" w:w="1008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200"/>
        <w:gridCol w:w="1500"/>
        <w:gridCol w:w="2400"/>
        <w:gridCol w:w="1800"/>
        <w:gridCol w:w="1500"/>
        <w:gridCol w:w="1680"/>
      </w:tblGrid>
      <w:tr>
        <w:trPr>
          <w:tblHeader/>
        </w:trPr>
        <w:tc>
          <w:tcPr>
            <w:tcW w:type="dxa" w:w="120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222222" w:val="clear"/>
            <w:tcMar>
              <w:top w:type="dxa" w:w="90"/>
              <w:left w:type="dxa" w:w="120"/>
              <w:bottom w:type="dxa" w:w="90"/>
              <w:right w:type="dxa" w:w="120"/>
            </w:tcMar>
          </w:tcPr>
          <w:p>
            <w:pPr>
              <w:jc w:val="left"/>
            </w:pPr>
            <w:r>
              <w:rPr>
                <w:rFonts w:ascii="Arial" w:cs="Arial" w:eastAsia="Arial" w:hAnsi="Arial"/>
                <w:b/>
                <w:bCs/>
                <w:color w:val="FFFFFF"/>
                <w:sz w:val="16"/>
                <w:szCs w:val="16"/>
              </w:rPr>
              <w:t xml:space="preserve">Date</w:t>
            </w:r>
          </w:p>
        </w:tc>
        <w:tc>
          <w:tcPr>
            <w:tcW w:type="dxa" w:w="150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222222" w:val="clear"/>
            <w:tcMar>
              <w:top w:type="dxa" w:w="90"/>
              <w:left w:type="dxa" w:w="120"/>
              <w:bottom w:type="dxa" w:w="90"/>
              <w:right w:type="dxa" w:w="120"/>
            </w:tcMar>
          </w:tcPr>
          <w:p>
            <w:pPr>
              <w:jc w:val="left"/>
            </w:pPr>
            <w:r>
              <w:rPr>
                <w:rFonts w:ascii="Arial" w:cs="Arial" w:eastAsia="Arial" w:hAnsi="Arial"/>
                <w:b/>
                <w:bCs/>
                <w:color w:val="FFFFFF"/>
                <w:sz w:val="16"/>
                <w:szCs w:val="16"/>
              </w:rPr>
              <w:t xml:space="preserve">Project</w:t>
            </w:r>
          </w:p>
        </w:tc>
        <w:tc>
          <w:tcPr>
            <w:tcW w:type="dxa" w:w="240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222222" w:val="clear"/>
            <w:tcMar>
              <w:top w:type="dxa" w:w="90"/>
              <w:left w:type="dxa" w:w="120"/>
              <w:bottom w:type="dxa" w:w="90"/>
              <w:right w:type="dxa" w:w="120"/>
            </w:tcMar>
          </w:tcPr>
          <w:p>
            <w:pPr>
              <w:jc w:val="left"/>
            </w:pPr>
            <w:r>
              <w:rPr>
                <w:rFonts w:ascii="Arial" w:cs="Arial" w:eastAsia="Arial" w:hAnsi="Arial"/>
                <w:b/>
                <w:bCs/>
                <w:color w:val="FFFFFF"/>
                <w:sz w:val="16"/>
                <w:szCs w:val="16"/>
              </w:rPr>
              <w:t xml:space="preserve">Purpose</w:t>
            </w:r>
          </w:p>
        </w:tc>
        <w:tc>
          <w:tcPr>
            <w:tcW w:type="dxa" w:w="180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222222" w:val="clear"/>
            <w:tcMar>
              <w:top w:type="dxa" w:w="90"/>
              <w:left w:type="dxa" w:w="120"/>
              <w:bottom w:type="dxa" w:w="90"/>
              <w:right w:type="dxa" w:w="120"/>
            </w:tcMar>
          </w:tcPr>
          <w:p>
            <w:pPr>
              <w:jc w:val="left"/>
            </w:pPr>
            <w:r>
              <w:rPr>
                <w:rFonts w:ascii="Arial" w:cs="Arial" w:eastAsia="Arial" w:hAnsi="Arial"/>
                <w:b/>
                <w:bCs/>
                <w:color w:val="FFFFFF"/>
                <w:sz w:val="16"/>
                <w:szCs w:val="16"/>
              </w:rPr>
              <w:t xml:space="preserve">Tool used</w:t>
            </w:r>
          </w:p>
        </w:tc>
        <w:tc>
          <w:tcPr>
            <w:tcW w:type="dxa" w:w="150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222222" w:val="clear"/>
            <w:tcMar>
              <w:top w:type="dxa" w:w="90"/>
              <w:left w:type="dxa" w:w="120"/>
              <w:bottom w:type="dxa" w:w="90"/>
              <w:right w:type="dxa" w:w="120"/>
            </w:tcMar>
          </w:tcPr>
          <w:p>
            <w:pPr>
              <w:jc w:val="left"/>
            </w:pPr>
            <w:r>
              <w:rPr>
                <w:rFonts w:ascii="Arial" w:cs="Arial" w:eastAsia="Arial" w:hAnsi="Arial"/>
                <w:b/>
                <w:bCs/>
                <w:color w:val="FFFFFF"/>
                <w:sz w:val="16"/>
                <w:szCs w:val="16"/>
              </w:rPr>
              <w:t xml:space="preserve">Risk tier</w:t>
            </w:r>
          </w:p>
        </w:tc>
        <w:tc>
          <w:tcPr>
            <w:tcW w:type="dxa" w:w="168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222222" w:val="clear"/>
            <w:tcMar>
              <w:top w:type="dxa" w:w="90"/>
              <w:left w:type="dxa" w:w="120"/>
              <w:bottom w:type="dxa" w:w="90"/>
              <w:right w:type="dxa" w:w="120"/>
            </w:tcMar>
          </w:tcPr>
          <w:p>
            <w:pPr>
              <w:jc w:val="left"/>
            </w:pPr>
            <w:r>
              <w:rPr>
                <w:rFonts w:ascii="Arial" w:cs="Arial" w:eastAsia="Arial" w:hAnsi="Arial"/>
                <w:b/>
                <w:bCs/>
                <w:color w:val="FFFFFF"/>
                <w:sz w:val="16"/>
                <w:szCs w:val="16"/>
              </w:rPr>
              <w:t xml:space="preserve">Reviewed by</w:t>
            </w:r>
          </w:p>
        </w:tc>
      </w:tr>
      <w:tr>
        <w:tc>
          <w:tcPr>
            <w:tcW w:type="dxa" w:w="120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90"/>
              <w:left w:type="dxa" w:w="120"/>
              <w:bottom w:type="dxa" w:w="90"/>
              <w:right w:type="dxa" w:w="120"/>
            </w:tcMar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222222"/>
                <w:sz w:val="16"/>
                <w:szCs w:val="16"/>
              </w:rPr>
              <w:t xml:space="preserve"> </w:t>
            </w:r>
          </w:p>
        </w:tc>
        <w:tc>
          <w:tcPr>
            <w:tcW w:type="dxa" w:w="150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90"/>
              <w:left w:type="dxa" w:w="120"/>
              <w:bottom w:type="dxa" w:w="90"/>
              <w:right w:type="dxa" w:w="120"/>
            </w:tcMar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222222"/>
                <w:sz w:val="16"/>
                <w:szCs w:val="16"/>
              </w:rPr>
              <w:t xml:space="preserve"> </w:t>
            </w:r>
          </w:p>
        </w:tc>
        <w:tc>
          <w:tcPr>
            <w:tcW w:type="dxa" w:w="240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90"/>
              <w:left w:type="dxa" w:w="120"/>
              <w:bottom w:type="dxa" w:w="90"/>
              <w:right w:type="dxa" w:w="120"/>
            </w:tcMar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222222"/>
                <w:sz w:val="16"/>
                <w:szCs w:val="16"/>
              </w:rPr>
              <w:t xml:space="preserve"> </w:t>
            </w:r>
          </w:p>
        </w:tc>
        <w:tc>
          <w:tcPr>
            <w:tcW w:type="dxa" w:w="180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90"/>
              <w:left w:type="dxa" w:w="120"/>
              <w:bottom w:type="dxa" w:w="90"/>
              <w:right w:type="dxa" w:w="120"/>
            </w:tcMar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222222"/>
                <w:sz w:val="16"/>
                <w:szCs w:val="16"/>
              </w:rPr>
              <w:t xml:space="preserve"> </w:t>
            </w:r>
          </w:p>
        </w:tc>
        <w:tc>
          <w:tcPr>
            <w:tcW w:type="dxa" w:w="150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90"/>
              <w:left w:type="dxa" w:w="120"/>
              <w:bottom w:type="dxa" w:w="90"/>
              <w:right w:type="dxa" w:w="120"/>
            </w:tcMar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222222"/>
                <w:sz w:val="16"/>
                <w:szCs w:val="16"/>
              </w:rPr>
              <w:t xml:space="preserve"> </w:t>
            </w:r>
          </w:p>
        </w:tc>
        <w:tc>
          <w:tcPr>
            <w:tcW w:type="dxa" w:w="168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90"/>
              <w:left w:type="dxa" w:w="120"/>
              <w:bottom w:type="dxa" w:w="90"/>
              <w:right w:type="dxa" w:w="120"/>
            </w:tcMar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222222"/>
                <w:sz w:val="16"/>
                <w:szCs w:val="16"/>
              </w:rPr>
              <w:t xml:space="preserve"> </w:t>
            </w:r>
          </w:p>
        </w:tc>
      </w:tr>
      <w:tr>
        <w:tc>
          <w:tcPr>
            <w:tcW w:type="dxa" w:w="120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90"/>
              <w:left w:type="dxa" w:w="120"/>
              <w:bottom w:type="dxa" w:w="90"/>
              <w:right w:type="dxa" w:w="120"/>
            </w:tcMar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222222"/>
                <w:sz w:val="16"/>
                <w:szCs w:val="16"/>
              </w:rPr>
              <w:t xml:space="preserve"> </w:t>
            </w:r>
          </w:p>
        </w:tc>
        <w:tc>
          <w:tcPr>
            <w:tcW w:type="dxa" w:w="150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90"/>
              <w:left w:type="dxa" w:w="120"/>
              <w:bottom w:type="dxa" w:w="90"/>
              <w:right w:type="dxa" w:w="120"/>
            </w:tcMar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222222"/>
                <w:sz w:val="16"/>
                <w:szCs w:val="16"/>
              </w:rPr>
              <w:t xml:space="preserve"> </w:t>
            </w:r>
          </w:p>
        </w:tc>
        <w:tc>
          <w:tcPr>
            <w:tcW w:type="dxa" w:w="240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90"/>
              <w:left w:type="dxa" w:w="120"/>
              <w:bottom w:type="dxa" w:w="90"/>
              <w:right w:type="dxa" w:w="120"/>
            </w:tcMar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222222"/>
                <w:sz w:val="16"/>
                <w:szCs w:val="16"/>
              </w:rPr>
              <w:t xml:space="preserve"> </w:t>
            </w:r>
          </w:p>
        </w:tc>
        <w:tc>
          <w:tcPr>
            <w:tcW w:type="dxa" w:w="180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90"/>
              <w:left w:type="dxa" w:w="120"/>
              <w:bottom w:type="dxa" w:w="90"/>
              <w:right w:type="dxa" w:w="120"/>
            </w:tcMar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222222"/>
                <w:sz w:val="16"/>
                <w:szCs w:val="16"/>
              </w:rPr>
              <w:t xml:space="preserve"> </w:t>
            </w:r>
          </w:p>
        </w:tc>
        <w:tc>
          <w:tcPr>
            <w:tcW w:type="dxa" w:w="150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90"/>
              <w:left w:type="dxa" w:w="120"/>
              <w:bottom w:type="dxa" w:w="90"/>
              <w:right w:type="dxa" w:w="120"/>
            </w:tcMar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222222"/>
                <w:sz w:val="16"/>
                <w:szCs w:val="16"/>
              </w:rPr>
              <w:t xml:space="preserve"> </w:t>
            </w:r>
          </w:p>
        </w:tc>
        <w:tc>
          <w:tcPr>
            <w:tcW w:type="dxa" w:w="168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90"/>
              <w:left w:type="dxa" w:w="120"/>
              <w:bottom w:type="dxa" w:w="90"/>
              <w:right w:type="dxa" w:w="120"/>
            </w:tcMar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222222"/>
                <w:sz w:val="16"/>
                <w:szCs w:val="16"/>
              </w:rPr>
              <w:t xml:space="preserve"> </w:t>
            </w:r>
          </w:p>
        </w:tc>
      </w:tr>
      <w:tr>
        <w:tc>
          <w:tcPr>
            <w:tcW w:type="dxa" w:w="120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90"/>
              <w:left w:type="dxa" w:w="120"/>
              <w:bottom w:type="dxa" w:w="90"/>
              <w:right w:type="dxa" w:w="120"/>
            </w:tcMar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222222"/>
                <w:sz w:val="16"/>
                <w:szCs w:val="16"/>
              </w:rPr>
              <w:t xml:space="preserve"> </w:t>
            </w:r>
          </w:p>
        </w:tc>
        <w:tc>
          <w:tcPr>
            <w:tcW w:type="dxa" w:w="150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90"/>
              <w:left w:type="dxa" w:w="120"/>
              <w:bottom w:type="dxa" w:w="90"/>
              <w:right w:type="dxa" w:w="120"/>
            </w:tcMar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222222"/>
                <w:sz w:val="16"/>
                <w:szCs w:val="16"/>
              </w:rPr>
              <w:t xml:space="preserve"> </w:t>
            </w:r>
          </w:p>
        </w:tc>
        <w:tc>
          <w:tcPr>
            <w:tcW w:type="dxa" w:w="240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90"/>
              <w:left w:type="dxa" w:w="120"/>
              <w:bottom w:type="dxa" w:w="90"/>
              <w:right w:type="dxa" w:w="120"/>
            </w:tcMar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222222"/>
                <w:sz w:val="16"/>
                <w:szCs w:val="16"/>
              </w:rPr>
              <w:t xml:space="preserve"> </w:t>
            </w:r>
          </w:p>
        </w:tc>
        <w:tc>
          <w:tcPr>
            <w:tcW w:type="dxa" w:w="180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90"/>
              <w:left w:type="dxa" w:w="120"/>
              <w:bottom w:type="dxa" w:w="90"/>
              <w:right w:type="dxa" w:w="120"/>
            </w:tcMar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222222"/>
                <w:sz w:val="16"/>
                <w:szCs w:val="16"/>
              </w:rPr>
              <w:t xml:space="preserve"> </w:t>
            </w:r>
          </w:p>
        </w:tc>
        <w:tc>
          <w:tcPr>
            <w:tcW w:type="dxa" w:w="150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90"/>
              <w:left w:type="dxa" w:w="120"/>
              <w:bottom w:type="dxa" w:w="90"/>
              <w:right w:type="dxa" w:w="120"/>
            </w:tcMar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222222"/>
                <w:sz w:val="16"/>
                <w:szCs w:val="16"/>
              </w:rPr>
              <w:t xml:space="preserve"> </w:t>
            </w:r>
          </w:p>
        </w:tc>
        <w:tc>
          <w:tcPr>
            <w:tcW w:type="dxa" w:w="168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90"/>
              <w:left w:type="dxa" w:w="120"/>
              <w:bottom w:type="dxa" w:w="90"/>
              <w:right w:type="dxa" w:w="120"/>
            </w:tcMar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222222"/>
                <w:sz w:val="16"/>
                <w:szCs w:val="16"/>
              </w:rPr>
              <w:t xml:space="preserve"> </w:t>
            </w:r>
          </w:p>
        </w:tc>
      </w:tr>
      <w:tr>
        <w:tc>
          <w:tcPr>
            <w:tcW w:type="dxa" w:w="120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90"/>
              <w:left w:type="dxa" w:w="120"/>
              <w:bottom w:type="dxa" w:w="90"/>
              <w:right w:type="dxa" w:w="120"/>
            </w:tcMar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222222"/>
                <w:sz w:val="16"/>
                <w:szCs w:val="16"/>
              </w:rPr>
              <w:t xml:space="preserve"> </w:t>
            </w:r>
          </w:p>
        </w:tc>
        <w:tc>
          <w:tcPr>
            <w:tcW w:type="dxa" w:w="150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90"/>
              <w:left w:type="dxa" w:w="120"/>
              <w:bottom w:type="dxa" w:w="90"/>
              <w:right w:type="dxa" w:w="120"/>
            </w:tcMar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222222"/>
                <w:sz w:val="16"/>
                <w:szCs w:val="16"/>
              </w:rPr>
              <w:t xml:space="preserve"> </w:t>
            </w:r>
          </w:p>
        </w:tc>
        <w:tc>
          <w:tcPr>
            <w:tcW w:type="dxa" w:w="240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90"/>
              <w:left w:type="dxa" w:w="120"/>
              <w:bottom w:type="dxa" w:w="90"/>
              <w:right w:type="dxa" w:w="120"/>
            </w:tcMar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222222"/>
                <w:sz w:val="16"/>
                <w:szCs w:val="16"/>
              </w:rPr>
              <w:t xml:space="preserve"> </w:t>
            </w:r>
          </w:p>
        </w:tc>
        <w:tc>
          <w:tcPr>
            <w:tcW w:type="dxa" w:w="180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90"/>
              <w:left w:type="dxa" w:w="120"/>
              <w:bottom w:type="dxa" w:w="90"/>
              <w:right w:type="dxa" w:w="120"/>
            </w:tcMar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222222"/>
                <w:sz w:val="16"/>
                <w:szCs w:val="16"/>
              </w:rPr>
              <w:t xml:space="preserve"> </w:t>
            </w:r>
          </w:p>
        </w:tc>
        <w:tc>
          <w:tcPr>
            <w:tcW w:type="dxa" w:w="150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90"/>
              <w:left w:type="dxa" w:w="120"/>
              <w:bottom w:type="dxa" w:w="90"/>
              <w:right w:type="dxa" w:w="120"/>
            </w:tcMar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222222"/>
                <w:sz w:val="16"/>
                <w:szCs w:val="16"/>
              </w:rPr>
              <w:t xml:space="preserve"> </w:t>
            </w:r>
          </w:p>
        </w:tc>
        <w:tc>
          <w:tcPr>
            <w:tcW w:type="dxa" w:w="168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90"/>
              <w:left w:type="dxa" w:w="120"/>
              <w:bottom w:type="dxa" w:w="90"/>
              <w:right w:type="dxa" w:w="120"/>
            </w:tcMar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222222"/>
                <w:sz w:val="16"/>
                <w:szCs w:val="16"/>
              </w:rPr>
              <w:t xml:space="preserve"> </w:t>
            </w:r>
          </w:p>
        </w:tc>
      </w:tr>
    </w:tbl>
    <w:p>
      <w:pPr>
        <w:spacing w:after="80" w:before="80"/>
      </w:pPr>
      <w:r>
        <w:rPr>
          <w:rFonts w:ascii="Arial" w:cs="Arial" w:eastAsia="Arial" w:hAnsi="Arial"/>
          <w:b w:val="false"/>
          <w:bCs w:val="false"/>
          <w:i w:val="false"/>
          <w:iCs w:val="false"/>
          <w:sz w:val="22"/>
          <w:szCs w:val="22"/>
        </w:rPr>
        <w:t xml:space="preserve"> </w:t>
      </w:r>
    </w:p>
    <w:p>
      <w:pPr>
        <w:spacing w:after="200" w:before="0"/>
      </w:pPr>
      <w:r>
        <w:rPr>
          <w:rFonts w:ascii="Arial" w:cs="Arial" w:eastAsia="Arial" w:hAnsi="Arial"/>
          <w:b/>
          <w:bCs/>
          <w:i w:val="false"/>
          <w:iCs w:val="false"/>
          <w:sz w:val="22"/>
          <w:szCs w:val="22"/>
        </w:rPr>
        <w:t xml:space="preserve">Tip: </w:t>
      </w:r>
      <w:r>
        <w:rPr>
          <w:rFonts w:ascii="Arial" w:cs="Arial" w:eastAsia="Arial" w:hAnsi="Arial"/>
          <w:b w:val="false"/>
          <w:bCs w:val="false"/>
          <w:i w:val="false"/>
          <w:iCs w:val="false"/>
          <w:sz w:val="22"/>
          <w:szCs w:val="22"/>
        </w:rPr>
        <w:t xml:space="preserve">Keep the entries short — one row per significant use is enough. The point is traceability, not bureaucracy.</w:t>
      </w:r>
    </w:p>
    <w:p>
      <w:pPr>
        <w:spacing w:after="0" w:before="0"/>
      </w:pPr>
      <w:r>
        <w:rPr>
          <w:rFonts w:ascii="Arial" w:cs="Arial" w:eastAsia="Arial" w:hAnsi="Arial"/>
          <w:b w:val="false"/>
          <w:bCs w:val="false"/>
          <w:i/>
          <w:iCs/>
          <w:sz w:val="22"/>
          <w:szCs w:val="22"/>
        </w:rPr>
        <w:t xml:space="preserve">This template is part of the AIA AI Firm Toolkit. </w:t>
      </w:r>
      <w:r>
        <w:rPr>
          <w:rFonts w:ascii="Arial" w:cs="Arial" w:eastAsia="Arial" w:hAnsi="Arial"/>
          <w:b w:val="false"/>
          <w:bCs w:val="false"/>
          <w:i/>
          <w:iCs/>
          <w:sz w:val="22"/>
          <w:szCs w:val="22"/>
        </w:rPr>
        <w:t xml:space="preserve">For background on each principle, the AIA Code anchors, client disclosure guidance, contract language, environmental considerations, and data governance, see the toolkit's Policy and Change Management sections.</w:t>
      </w:r>
    </w:p>
    <w:sectPr>
      <w:headerReference w:type="default" r:id="rId7"/>
      <w:footerReference w:type="default" r:id="rId8"/>
      <w:pgSz w:w="12240" w:h="15840" w:orient="portrait"/>
      <w:pgMar w:top="1080" w:right="1080" w:bottom="1080" w:left="108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jc w:val="center"/>
    </w:pPr>
    <w:r>
      <w:rPr>
        <w:rFonts w:ascii="Arial" w:cs="Arial" w:eastAsia="Arial" w:hAnsi="Arial"/>
        <w:color w:val="888888"/>
        <w:sz w:val="16"/>
        <w:szCs w:val="16"/>
      </w:rPr>
      <w:t xml:space="preserve">AIA AI Firm Toolkit · Sample Firm AI Policy (Detailed) · Page </w:t>
    </w:r>
    <w:r>
      <w:rPr>
        <w:rFonts w:ascii="Arial" w:cs="Arial" w:eastAsia="Arial" w:hAnsi="Arial"/>
        <w:color w:val="888888"/>
        <w:sz w:val="16"/>
        <w:szCs w:val="16"/>
      </w:rPr>
      <w:fldChar w:fldCharType="begin"/>
      <w:instrText xml:space="preserve">PAGE</w:instrText>
      <w:fldChar w:fldCharType="separate"/>
      <w:fldChar w:fldCharType="end"/>
    </w:r>
    <w:r>
      <w:rPr>
        <w:rFonts w:ascii="Arial" w:cs="Arial" w:eastAsia="Arial" w:hAnsi="Arial"/>
        <w:color w:val="888888"/>
        <w:sz w:val="16"/>
        <w:szCs w:val="16"/>
      </w:rPr>
      <w:t xml:space="preserve"> of </w:t>
    </w:r>
    <w:r>
      <w:rPr>
        <w:rFonts w:ascii="Arial" w:cs="Arial" w:eastAsia="Arial" w:hAnsi="Arial"/>
        <w:color w:val="888888"/>
        <w:sz w:val="16"/>
        <w:szCs w:val="16"/>
      </w:rPr>
      <w:fldChar w:fldCharType="begin"/>
      <w:instrText xml:space="preserve">NUMPAGES</w:instrText>
      <w:fldChar w:fldCharType="separate"/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pPr>
      <w:jc w:val="right"/>
    </w:pPr>
    <w:r>
      <w:rPr>
        <w:rFonts w:ascii="Arial" w:cs="Arial" w:eastAsia="Arial" w:hAnsi="Arial"/>
        <w:color w:val="888888"/>
        <w:sz w:val="18"/>
        <w:szCs w:val="18"/>
      </w:rPr>
      <w:t xml:space="preserve">Sample Firm AI Policy — Detailed version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multiLevelType w:val="hybridMultilevel"/>
    <w:lvl w:ilvl="0" w15:tentative="1">
      <w:start w:val="1"/>
      <w:numFmt w:val="bullet"/>
      <w:lvlText w:val="•"/>
      <w:lvlJc w:val="left"/>
      <w:pPr>
        <w:ind w:left="360" w:hanging="220"/>
      </w:pPr>
    </w:lvl>
    <w:lvl w:ilvl="1" w15:tentative="1">
      <w:start w:val="1"/>
      <w:numFmt w:val="bullet"/>
      <w:lvlText w:val="◦"/>
      <w:lvlJc w:val="left"/>
      <w:pPr>
        <w:ind w:left="720" w:hanging="220"/>
      </w:pPr>
    </w:lvl>
  </w:abstractNum>
  <w:num w:numId="1">
    <w:abstractNumId w:val="1"/>
    <w:lvlOverride w:ilvl="0">
      <w:startOverride w:val="1"/>
    </w:lvlOverride>
  </w:num>
  <w:num w:numId="2">
    <w:abstractNumId w:val="2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2"/>
        <w:szCs w:val="22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180" w:before="280"/>
      <w:outlineLvl w:val="0"/>
    </w:pPr>
    <w:rPr>
      <w:rFonts w:ascii="Arial" w:cs="Arial" w:eastAsia="Arial" w:hAnsi="Arial"/>
      <w:b/>
      <w:bCs/>
      <w:color w:val="222222"/>
      <w:sz w:val="36"/>
      <w:szCs w:val="36"/>
    </w:rPr>
  </w:style>
  <w:style w:type="paragraph" w:styleId="Heading2">
    <w:name w:val="Heading 2"/>
    <w:basedOn w:val="Normal"/>
    <w:next w:val="Normal"/>
    <w:qFormat/>
    <w:pPr>
      <w:spacing w:after="100" w:before="280"/>
      <w:outlineLvl w:val="1"/>
    </w:pPr>
    <w:rPr>
      <w:rFonts w:ascii="Arial" w:cs="Arial" w:eastAsia="Arial" w:hAnsi="Arial"/>
      <w:b/>
      <w:bCs/>
      <w:color w:val="C41230"/>
      <w:sz w:val="26"/>
      <w:szCs w:val="26"/>
    </w:rPr>
  </w:style>
  <w:style w:type="paragraph" w:styleId="Heading3">
    <w:name w:val="Heading 3"/>
    <w:basedOn w:val="Normal"/>
    <w:next w:val="Normal"/>
    <w:qFormat/>
    <w:pPr>
      <w:spacing w:after="60" w:before="180"/>
      <w:outlineLvl w:val="2"/>
    </w:pPr>
    <w:rPr>
      <w:rFonts w:ascii="Arial" w:cs="Arial" w:eastAsia="Arial" w:hAnsi="Arial"/>
      <w:b/>
      <w:bCs/>
      <w:color w:val="222222"/>
      <w:sz w:val="22"/>
      <w:szCs w:val="22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header" Target="header1.xml"/><Relationship Id="rId8" Type="http://schemas.openxmlformats.org/officeDocument/2006/relationships/footer" Target="footer1.xml"/><Relationship Id="rId9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2026-05-08T06:31:20.715Z</dcterms:created>
  <dcterms:modified xsi:type="dcterms:W3CDTF">2026-05-08T06:31:20.715Z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